
<file path=[Content_Types].xml><?xml version="1.0" encoding="utf-8"?>
<Types xmlns="http://schemas.openxmlformats.org/package/2006/content-types">
  <Default Extension="xml" ContentType="application/xml"/>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nts/font1.odttf" ContentType="application/vnd.openxmlformats-officedocument.obfuscatedFont"/>
  <Override PartName="/word/fonts/font2.odttf" ContentType="application/vnd.openxmlformats-officedocument.obfuscatedFont"/>
  <Override PartName="/word/fonts/font3.odttf" ContentType="application/vnd.openxmlformats-officedocument.obfuscatedFont"/>
  <Override PartName="/word/fonts/font4.odttf" ContentType="application/vnd.openxmlformats-officedocument.obfuscatedFont"/>
  <Override PartName="/word/footer1.xml" ContentType="application/vnd.openxmlformats-officedocument.wordprocessingml.footer+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5499F6A">
      <w:pPr>
        <w:pStyle w:val="3"/>
        <w:spacing w:line="240" w:lineRule="auto"/>
        <w:jc w:val="center"/>
        <w:rPr>
          <w:rFonts w:ascii="黑体" w:hAnsi="黑体"/>
          <w:color w:val="auto"/>
        </w:rPr>
      </w:pPr>
      <w:bookmarkStart w:id="0" w:name="_Toc15737"/>
      <w:bookmarkStart w:id="1" w:name="_Toc24454"/>
      <w:bookmarkStart w:id="2" w:name="_Toc32320"/>
      <w:bookmarkStart w:id="3" w:name="_Toc21422"/>
      <w:bookmarkStart w:id="4" w:name="_Toc20910"/>
      <w:bookmarkStart w:id="5" w:name="_Toc21762"/>
      <w:bookmarkStart w:id="6" w:name="_Toc11918"/>
      <w:bookmarkStart w:id="7" w:name="_Toc13462"/>
      <w:bookmarkStart w:id="8" w:name="_Toc24727"/>
      <w:bookmarkStart w:id="9" w:name="_Toc8396"/>
      <w:bookmarkStart w:id="10" w:name="_Toc12789"/>
      <w:bookmarkStart w:id="11" w:name="_Toc24068"/>
      <w:bookmarkStart w:id="12" w:name="_Toc25712"/>
      <w:bookmarkStart w:id="13" w:name="_Toc20033"/>
      <w:bookmarkStart w:id="14" w:name="_Toc29002"/>
      <w:bookmarkStart w:id="15" w:name="_Toc7615"/>
      <w:r>
        <w:rPr>
          <w:rFonts w:hint="eastAsia" w:ascii="黑体" w:hAnsi="黑体"/>
          <w:color w:val="auto"/>
        </w:rPr>
        <w:t>网络竞价须知</w:t>
      </w:r>
      <w:bookmarkEnd w:id="0"/>
      <w:bookmarkEnd w:id="1"/>
      <w:bookmarkEnd w:id="2"/>
      <w:bookmarkEnd w:id="3"/>
      <w:bookmarkEnd w:id="4"/>
      <w:bookmarkEnd w:id="5"/>
      <w:bookmarkEnd w:id="6"/>
    </w:p>
    <w:p w14:paraId="485CDA5E">
      <w:pPr>
        <w:numPr>
          <w:ilvl w:val="0"/>
          <w:numId w:val="1"/>
        </w:numPr>
        <w:spacing w:line="520" w:lineRule="exact"/>
        <w:rPr>
          <w:rFonts w:ascii="新宋体" w:hAnsi="新宋体" w:eastAsia="新宋体"/>
          <w:color w:val="auto"/>
          <w:sz w:val="28"/>
          <w:szCs w:val="28"/>
        </w:rPr>
      </w:pPr>
      <w:r>
        <w:rPr>
          <w:rFonts w:hint="eastAsia" w:ascii="新宋体" w:hAnsi="新宋体" w:eastAsia="新宋体"/>
          <w:b w:val="0"/>
          <w:bCs w:val="0"/>
          <w:color w:val="auto"/>
          <w:sz w:val="28"/>
          <w:szCs w:val="28"/>
          <w:u w:val="single"/>
          <w:lang w:val="en-US" w:eastAsia="zh-CN"/>
        </w:rPr>
        <w:t xml:space="preserve">屯昌县南坤镇藤寨墟农贸市场旁36㎡1号铁皮棚出租                   </w:t>
      </w:r>
      <w:r>
        <w:rPr>
          <w:rFonts w:hint="eastAsia" w:ascii="新宋体" w:hAnsi="新宋体" w:eastAsia="新宋体"/>
          <w:b w:val="0"/>
          <w:bCs w:val="0"/>
          <w:color w:val="auto"/>
          <w:sz w:val="28"/>
          <w:szCs w:val="28"/>
        </w:rPr>
        <w:t>项目</w:t>
      </w:r>
      <w:r>
        <w:rPr>
          <w:rFonts w:hint="eastAsia" w:ascii="新宋体" w:hAnsi="新宋体" w:eastAsia="新宋体"/>
          <w:color w:val="auto"/>
          <w:sz w:val="28"/>
          <w:szCs w:val="28"/>
        </w:rPr>
        <w:t>《网络竞价须知》（以下简称《须知》），依据《</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中心</w:t>
      </w:r>
      <w:r>
        <w:rPr>
          <w:rFonts w:hint="eastAsia" w:ascii="新宋体" w:hAnsi="新宋体" w:eastAsia="新宋体"/>
          <w:color w:val="auto"/>
          <w:sz w:val="28"/>
          <w:szCs w:val="28"/>
        </w:rPr>
        <w:t>交易规则（试行）》、《</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农村产权交易服务平台网络竞价实施办法（试行）》及有关法律、法规的规定，制定本交易须知。</w:t>
      </w:r>
    </w:p>
    <w:p w14:paraId="5C1F74C4">
      <w:pPr>
        <w:spacing w:line="52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w:t>
      </w:r>
      <w:r>
        <w:rPr>
          <w:rFonts w:hint="eastAsia" w:ascii="新宋体" w:hAnsi="新宋体" w:eastAsia="新宋体" w:cs="Times New Roman"/>
          <w:b/>
          <w:bCs/>
          <w:color w:val="auto"/>
          <w:sz w:val="28"/>
          <w:szCs w:val="28"/>
        </w:rPr>
        <w:t>凡参加平台网络竞价的竞买方必须遵守本交易须知、平台有关交易规则以及有关法律法规。</w:t>
      </w:r>
    </w:p>
    <w:p w14:paraId="316194BF">
      <w:pPr>
        <w:spacing w:line="520" w:lineRule="exact"/>
        <w:ind w:left="0" w:leftChars="0" w:firstLine="560" w:firstLineChars="200"/>
        <w:jc w:val="left"/>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2、</w:t>
      </w:r>
      <w:r>
        <w:rPr>
          <w:rFonts w:hint="eastAsia" w:ascii="新宋体" w:hAnsi="新宋体" w:eastAsia="新宋体" w:cs="Times New Roman"/>
          <w:b/>
          <w:bCs/>
          <w:color w:val="auto"/>
          <w:sz w:val="28"/>
          <w:szCs w:val="28"/>
          <w:lang w:val="en-US" w:eastAsia="zh-CN"/>
        </w:rPr>
        <w:t>屯昌</w:t>
      </w:r>
      <w:r>
        <w:rPr>
          <w:rFonts w:hint="eastAsia" w:ascii="新宋体" w:hAnsi="新宋体" w:eastAsia="新宋体" w:cs="Times New Roman"/>
          <w:b/>
          <w:bCs/>
          <w:color w:val="auto"/>
          <w:sz w:val="28"/>
          <w:szCs w:val="28"/>
        </w:rPr>
        <w:t>农村产权</w:t>
      </w:r>
      <w:r>
        <w:rPr>
          <w:rFonts w:hint="eastAsia" w:ascii="新宋体" w:hAnsi="新宋体" w:eastAsia="新宋体" w:cs="Times New Roman"/>
          <w:b/>
          <w:bCs/>
          <w:color w:val="auto"/>
          <w:sz w:val="28"/>
          <w:szCs w:val="28"/>
          <w:lang w:val="en-US" w:eastAsia="zh-CN"/>
        </w:rPr>
        <w:t>流转</w:t>
      </w:r>
      <w:r>
        <w:rPr>
          <w:rFonts w:hint="eastAsia" w:ascii="新宋体" w:hAnsi="新宋体" w:eastAsia="新宋体" w:cs="Times New Roman"/>
          <w:b/>
          <w:bCs/>
          <w:color w:val="auto"/>
          <w:sz w:val="28"/>
          <w:szCs w:val="28"/>
        </w:rPr>
        <w:t>交易服务平台</w:t>
      </w:r>
      <w:r>
        <w:rPr>
          <w:rFonts w:hint="eastAsia" w:ascii="新宋体" w:hAnsi="新宋体" w:eastAsia="新宋体" w:cs="Times New Roman"/>
          <w:b w:val="0"/>
          <w:bCs w:val="0"/>
          <w:color w:val="auto"/>
          <w:sz w:val="28"/>
          <w:szCs w:val="28"/>
        </w:rPr>
        <w:t>（</w:t>
      </w:r>
      <w:r>
        <w:rPr>
          <w:rFonts w:hint="eastAsia" w:ascii="新宋体" w:hAnsi="新宋体" w:eastAsia="新宋体" w:cs="Times New Roman"/>
          <w:b/>
          <w:bCs/>
          <w:color w:val="auto"/>
          <w:sz w:val="28"/>
          <w:szCs w:val="28"/>
        </w:rPr>
        <w:t>https://tunchang.nongjiao.com/</w:t>
      </w:r>
      <w:r>
        <w:rPr>
          <w:rFonts w:hint="eastAsia" w:ascii="新宋体" w:hAnsi="新宋体" w:eastAsia="新宋体" w:cs="Times New Roman"/>
          <w:b w:val="0"/>
          <w:bCs w:val="0"/>
          <w:color w:val="auto"/>
          <w:sz w:val="28"/>
          <w:szCs w:val="28"/>
        </w:rPr>
        <w:t>，以下简称“平台”）为指定的交易平台，竞买方应通过平台参与标的竞拍活动。</w:t>
      </w:r>
    </w:p>
    <w:p w14:paraId="03D24FA4">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3、</w:t>
      </w:r>
      <w:r>
        <w:rPr>
          <w:rFonts w:hint="eastAsia" w:ascii="新宋体" w:hAnsi="新宋体" w:eastAsia="新宋体" w:cs="Times New Roman"/>
          <w:b/>
          <w:bCs/>
          <w:color w:val="auto"/>
          <w:sz w:val="28"/>
          <w:szCs w:val="28"/>
        </w:rPr>
        <w:t>项目公告披露的标的信息均由出租（转让）方提供，竞买申请方在提交竞买报名之前，应对所竞买的项目标的有关情况及瑕疵已做了全面的了解，竞买方如对交易须知、交易规则、交易公告等交易文件有疑问的，可向平台运营工作人员咨询。</w:t>
      </w:r>
    </w:p>
    <w:p w14:paraId="6B25D737">
      <w:pPr>
        <w:spacing w:line="520" w:lineRule="exact"/>
        <w:ind w:firstLine="560" w:firstLineChars="200"/>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4、竞买申请方可通过平台图片、文字描述、附件材料或按照交易公告指定的时间进行现场踏勘了解标的，对标的现状有异议的，应在提交竞买报名前提出书面意见。</w:t>
      </w:r>
    </w:p>
    <w:p w14:paraId="63CAC3F9">
      <w:pPr>
        <w:spacing w:line="520" w:lineRule="exact"/>
        <w:ind w:firstLine="560" w:firstLineChars="200"/>
        <w:rPr>
          <w:rFonts w:hint="eastAsia" w:ascii="新宋体" w:hAnsi="新宋体" w:eastAsia="新宋体" w:cs="Times New Roman"/>
          <w:b/>
          <w:bCs/>
          <w:color w:val="auto"/>
          <w:sz w:val="28"/>
          <w:szCs w:val="28"/>
          <w:lang w:eastAsia="zh-CN"/>
        </w:rPr>
      </w:pPr>
      <w:r>
        <w:rPr>
          <w:rFonts w:hint="eastAsia" w:ascii="新宋体" w:hAnsi="新宋体" w:eastAsia="新宋体" w:cs="Times New Roman"/>
          <w:color w:val="auto"/>
          <w:sz w:val="28"/>
          <w:szCs w:val="28"/>
        </w:rPr>
        <w:t>5、</w:t>
      </w:r>
      <w:r>
        <w:rPr>
          <w:rFonts w:hint="eastAsia" w:ascii="新宋体" w:hAnsi="新宋体" w:eastAsia="新宋体" w:cs="Times New Roman"/>
          <w:b/>
          <w:bCs/>
          <w:color w:val="auto"/>
          <w:sz w:val="28"/>
          <w:szCs w:val="28"/>
        </w:rPr>
        <w:t>竞买申请方一旦提交竞买报名，即视为其已完全了解标的物的相关情况、认可标的交易公告及附件的全部内容、对标的现状无异议、同意遵守平台有关交易规则和交易须知</w:t>
      </w:r>
      <w:r>
        <w:rPr>
          <w:rFonts w:hint="eastAsia" w:ascii="新宋体" w:hAnsi="新宋体" w:eastAsia="新宋体" w:cs="Times New Roman"/>
          <w:b/>
          <w:bCs/>
          <w:color w:val="auto"/>
          <w:sz w:val="28"/>
          <w:szCs w:val="28"/>
          <w:lang w:eastAsia="zh-CN"/>
        </w:rPr>
        <w:t>，</w:t>
      </w:r>
      <w:r>
        <w:rPr>
          <w:rFonts w:hint="eastAsia" w:ascii="新宋体" w:hAnsi="新宋体" w:eastAsia="新宋体" w:cs="Times New Roman"/>
          <w:b/>
          <w:bCs/>
          <w:color w:val="auto"/>
          <w:sz w:val="28"/>
          <w:szCs w:val="28"/>
        </w:rPr>
        <w:t>对竞价成功后的《标的竞得书》及合同的签署均无异议。</w:t>
      </w:r>
    </w:p>
    <w:p w14:paraId="3AD576C8">
      <w:pPr>
        <w:numPr>
          <w:ilvl w:val="0"/>
          <w:numId w:val="1"/>
        </w:numPr>
        <w:spacing w:line="520" w:lineRule="exact"/>
      </w:pPr>
      <w:r>
        <w:rPr>
          <w:rFonts w:hint="eastAsia" w:ascii="新宋体" w:hAnsi="新宋体" w:eastAsia="新宋体" w:cs="Times New Roman"/>
          <w:b w:val="0"/>
          <w:bCs w:val="0"/>
          <w:color w:val="auto"/>
          <w:sz w:val="28"/>
          <w:szCs w:val="28"/>
        </w:rPr>
        <w:t>竞买申请方应当于</w:t>
      </w:r>
      <w:r>
        <w:rPr>
          <w:rFonts w:hint="eastAsia" w:ascii="新宋体" w:hAnsi="新宋体" w:eastAsia="新宋体" w:cs="Times New Roman"/>
          <w:b w:val="0"/>
          <w:bCs w:val="0"/>
          <w:color w:val="auto"/>
          <w:sz w:val="28"/>
          <w:szCs w:val="28"/>
          <w:u w:val="single"/>
          <w:lang w:val="en-US" w:eastAsia="zh-CN"/>
        </w:rPr>
        <w:t>2026/5/27 16:00:00</w:t>
      </w:r>
      <w:r>
        <w:rPr>
          <w:rFonts w:hint="eastAsia" w:ascii="新宋体" w:hAnsi="新宋体" w:eastAsia="新宋体" w:cs="Times New Roman"/>
          <w:b w:val="0"/>
          <w:bCs w:val="0"/>
          <w:color w:val="auto"/>
          <w:sz w:val="28"/>
          <w:szCs w:val="28"/>
        </w:rPr>
        <w:t>前签署并向平台提交本次网络竞价</w:t>
      </w:r>
      <w:r>
        <w:rPr>
          <w:rFonts w:hint="eastAsia" w:ascii="新宋体" w:hAnsi="新宋体" w:eastAsia="新宋体" w:cs="Times New Roman"/>
          <w:b/>
          <w:bCs/>
          <w:color w:val="auto"/>
          <w:sz w:val="28"/>
          <w:szCs w:val="28"/>
        </w:rPr>
        <w:t>《网络竞价须知》《网络竞价承诺函》</w:t>
      </w:r>
      <w:r>
        <w:rPr>
          <w:rFonts w:hint="eastAsia" w:ascii="新宋体" w:hAnsi="新宋体" w:eastAsia="新宋体" w:cs="Times New Roman"/>
          <w:b w:val="0"/>
          <w:bCs w:val="0"/>
          <w:color w:val="auto"/>
          <w:sz w:val="28"/>
          <w:szCs w:val="28"/>
        </w:rPr>
        <w:t>等竞价文件，</w:t>
      </w:r>
      <w:r>
        <w:rPr>
          <w:rFonts w:hint="eastAsia" w:ascii="新宋体" w:hAnsi="新宋体" w:eastAsia="新宋体" w:cs="Times New Roman"/>
          <w:color w:val="auto"/>
          <w:sz w:val="28"/>
          <w:szCs w:val="28"/>
        </w:rPr>
        <w:t>平台审核通过后，交纳交易保证金（交易保证金金额一般为意向标的物起拍价</w:t>
      </w:r>
      <w:r>
        <w:rPr>
          <w:rFonts w:hint="eastAsia" w:ascii="新宋体" w:hAnsi="新宋体" w:eastAsia="新宋体" w:cs="Times New Roman"/>
          <w:color w:val="auto"/>
          <w:sz w:val="28"/>
          <w:szCs w:val="28"/>
          <w:lang w:val="en-US" w:eastAsia="zh-CN"/>
        </w:rPr>
        <w:t>的</w:t>
      </w:r>
      <w:r>
        <w:rPr>
          <w:rFonts w:hint="eastAsia" w:ascii="新宋体" w:hAnsi="新宋体" w:eastAsia="新宋体" w:cs="Times New Roman"/>
          <w:color w:val="auto"/>
          <w:sz w:val="28"/>
          <w:szCs w:val="28"/>
        </w:rPr>
        <w:t>20%</w:t>
      </w:r>
      <w:r>
        <w:rPr>
          <w:rFonts w:hint="eastAsia" w:ascii="新宋体" w:hAnsi="新宋体" w:eastAsia="新宋体" w:cs="Times New Roman"/>
          <w:color w:val="auto"/>
          <w:sz w:val="28"/>
          <w:szCs w:val="28"/>
          <w:lang w:eastAsia="zh-CN"/>
        </w:rPr>
        <w:t>，</w:t>
      </w:r>
      <w:r>
        <w:rPr>
          <w:rFonts w:hint="eastAsia" w:ascii="新宋体" w:hAnsi="新宋体" w:eastAsia="新宋体" w:cs="Times New Roman"/>
          <w:color w:val="auto"/>
          <w:sz w:val="28"/>
          <w:szCs w:val="28"/>
          <w:lang w:val="en-US" w:eastAsia="zh-CN"/>
        </w:rPr>
        <w:t>以平台公示为准</w:t>
      </w:r>
      <w:r>
        <w:rPr>
          <w:rFonts w:hint="eastAsia" w:ascii="新宋体" w:hAnsi="新宋体" w:eastAsia="新宋体" w:cs="Times New Roman"/>
          <w:color w:val="auto"/>
          <w:sz w:val="28"/>
          <w:szCs w:val="28"/>
        </w:rPr>
        <w:t>），</w:t>
      </w:r>
      <w:r>
        <w:rPr>
          <w:rFonts w:hint="eastAsia" w:ascii="新宋体" w:hAnsi="新宋体" w:eastAsia="新宋体" w:cs="Times New Roman"/>
          <w:b w:val="0"/>
          <w:bCs w:val="0"/>
          <w:color w:val="auto"/>
          <w:sz w:val="28"/>
          <w:szCs w:val="28"/>
        </w:rPr>
        <w:t>竞买申请方</w:t>
      </w:r>
      <w:r>
        <w:rPr>
          <w:rFonts w:hint="eastAsia" w:ascii="新宋体" w:hAnsi="新宋体" w:eastAsia="新宋体" w:cs="Times New Roman"/>
          <w:b/>
          <w:bCs/>
          <w:color w:val="auto"/>
          <w:sz w:val="28"/>
          <w:szCs w:val="28"/>
        </w:rPr>
        <w:t>必须用本人的银行账户（单位用户须用本单位公户）</w:t>
      </w:r>
      <w:r>
        <w:rPr>
          <w:rFonts w:hint="eastAsia" w:ascii="新宋体" w:hAnsi="新宋体" w:eastAsia="新宋体" w:cs="Times New Roman"/>
          <w:b w:val="0"/>
          <w:bCs w:val="0"/>
          <w:color w:val="auto"/>
          <w:sz w:val="28"/>
          <w:szCs w:val="28"/>
        </w:rPr>
        <w:t>通过网银、手机银行、柜台转账等方式</w:t>
      </w:r>
      <w:r>
        <w:rPr>
          <w:rFonts w:hint="eastAsia" w:ascii="新宋体" w:hAnsi="新宋体" w:eastAsia="新宋体" w:cs="Times New Roman"/>
          <w:b w:val="0"/>
          <w:bCs w:val="0"/>
          <w:color w:val="auto"/>
          <w:sz w:val="28"/>
          <w:szCs w:val="28"/>
          <w:lang w:val="en-US" w:eastAsia="zh-CN"/>
        </w:rPr>
        <w:t>将</w:t>
      </w:r>
      <w:r>
        <w:rPr>
          <w:rFonts w:hint="eastAsia" w:ascii="新宋体" w:hAnsi="新宋体" w:eastAsia="新宋体" w:cs="Times New Roman"/>
          <w:b w:val="0"/>
          <w:bCs w:val="0"/>
          <w:color w:val="auto"/>
          <w:sz w:val="28"/>
          <w:szCs w:val="28"/>
        </w:rPr>
        <w:t>交易保证金款项存入平台交易保证金结算账户，方</w:t>
      </w:r>
      <w:r>
        <w:rPr>
          <w:rFonts w:hint="eastAsia" w:ascii="新宋体" w:hAnsi="新宋体" w:eastAsia="新宋体" w:cs="Times New Roman"/>
          <w:b w:val="0"/>
          <w:bCs w:val="0"/>
          <w:color w:val="auto"/>
          <w:sz w:val="28"/>
          <w:szCs w:val="28"/>
          <w:lang w:val="en-US" w:eastAsia="zh-CN"/>
        </w:rPr>
        <w:t>可</w:t>
      </w:r>
      <w:r>
        <w:rPr>
          <w:rFonts w:hint="eastAsia" w:ascii="新宋体" w:hAnsi="新宋体" w:eastAsia="新宋体" w:cs="Times New Roman"/>
          <w:b w:val="0"/>
          <w:bCs w:val="0"/>
          <w:color w:val="auto"/>
          <w:sz w:val="28"/>
          <w:szCs w:val="28"/>
        </w:rPr>
        <w:t>取得竞拍资格。</w:t>
      </w:r>
    </w:p>
    <w:tbl>
      <w:tblPr>
        <w:tblStyle w:val="12"/>
        <w:tblW w:w="9016" w:type="dxa"/>
        <w:jc w:val="center"/>
        <w:tblLayout w:type="fixed"/>
        <w:tblCellMar>
          <w:top w:w="0" w:type="dxa"/>
          <w:left w:w="108" w:type="dxa"/>
          <w:bottom w:w="0" w:type="dxa"/>
          <w:right w:w="108" w:type="dxa"/>
        </w:tblCellMar>
      </w:tblPr>
      <w:tblGrid>
        <w:gridCol w:w="1628"/>
        <w:gridCol w:w="7388"/>
      </w:tblGrid>
      <w:tr w14:paraId="6313BC34">
        <w:tblPrEx>
          <w:tblCellMar>
            <w:top w:w="0" w:type="dxa"/>
            <w:left w:w="108" w:type="dxa"/>
            <w:bottom w:w="0" w:type="dxa"/>
            <w:right w:w="108" w:type="dxa"/>
          </w:tblCellMar>
        </w:tblPrEx>
        <w:trPr>
          <w:trHeight w:val="600" w:hRule="atLeast"/>
          <w:jc w:val="center"/>
        </w:trPr>
        <w:tc>
          <w:tcPr>
            <w:tcW w:w="9016" w:type="dxa"/>
            <w:gridSpan w:val="2"/>
            <w:tcBorders>
              <w:top w:val="single" w:color="000000" w:sz="4" w:space="0"/>
              <w:left w:val="single" w:color="000000" w:sz="4" w:space="0"/>
              <w:bottom w:val="single" w:color="000000" w:sz="4" w:space="0"/>
              <w:right w:val="single" w:color="000000" w:sz="4" w:space="0"/>
            </w:tcBorders>
            <w:shd w:val="clear" w:color="auto" w:fill="auto"/>
            <w:vAlign w:val="center"/>
          </w:tcPr>
          <w:p w14:paraId="1944F87B">
            <w:pPr>
              <w:jc w:val="center"/>
              <w:rPr>
                <w:rFonts w:hint="eastAsia" w:ascii="新宋体" w:hAnsi="新宋体" w:eastAsia="新宋体" w:cs="新宋体"/>
                <w:b w:val="0"/>
                <w:bCs w:val="0"/>
                <w:color w:val="auto"/>
                <w:sz w:val="28"/>
                <w:szCs w:val="28"/>
                <w:lang w:val="en-US" w:eastAsia="zh-CN"/>
              </w:rPr>
            </w:pPr>
            <w:r>
              <w:rPr>
                <w:rFonts w:hint="eastAsia" w:ascii="新宋体" w:hAnsi="新宋体" w:eastAsia="新宋体" w:cs="新宋体"/>
                <w:b/>
                <w:bCs/>
                <w:color w:val="auto"/>
                <w:sz w:val="28"/>
                <w:szCs w:val="28"/>
              </w:rPr>
              <w:t>交易保证金收款账户</w:t>
            </w:r>
          </w:p>
        </w:tc>
      </w:tr>
      <w:tr w14:paraId="676003B4">
        <w:tblPrEx>
          <w:tblCellMar>
            <w:top w:w="0" w:type="dxa"/>
            <w:left w:w="108" w:type="dxa"/>
            <w:bottom w:w="0" w:type="dxa"/>
            <w:right w:w="108" w:type="dxa"/>
          </w:tblCellMar>
        </w:tblPrEx>
        <w:trPr>
          <w:trHeight w:val="600"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043F2DF">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单位名称</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9434F10">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屯昌县农村产权交易中心</w:t>
            </w:r>
            <w:r>
              <w:rPr>
                <w:rFonts w:hint="eastAsia" w:ascii="新宋体" w:hAnsi="新宋体" w:eastAsia="新宋体" w:cs="新宋体"/>
                <w:b w:val="0"/>
                <w:bCs w:val="0"/>
                <w:color w:val="auto"/>
                <w:sz w:val="28"/>
                <w:szCs w:val="28"/>
              </w:rPr>
              <w:t>有限公司</w:t>
            </w:r>
          </w:p>
        </w:tc>
      </w:tr>
      <w:tr w14:paraId="2C2EE164">
        <w:tblPrEx>
          <w:tblCellMar>
            <w:top w:w="0" w:type="dxa"/>
            <w:left w:w="108" w:type="dxa"/>
            <w:bottom w:w="0" w:type="dxa"/>
            <w:right w:w="108" w:type="dxa"/>
          </w:tblCellMar>
        </w:tblPrEx>
        <w:trPr>
          <w:trHeight w:val="578"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4B34E5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开户行</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04E9226D">
            <w:pPr>
              <w:jc w:val="center"/>
              <w:rPr>
                <w:rFonts w:hint="eastAsia" w:ascii="新宋体" w:hAnsi="新宋体" w:eastAsia="新宋体" w:cs="新宋体"/>
                <w:b w:val="0"/>
                <w:bCs w:val="0"/>
                <w:color w:val="auto"/>
                <w:sz w:val="28"/>
                <w:szCs w:val="28"/>
              </w:rPr>
            </w:pPr>
            <w:r>
              <w:rPr>
                <w:rFonts w:hint="eastAsia" w:ascii="新宋体" w:hAnsi="新宋体" w:eastAsia="新宋体" w:cs="新宋体"/>
                <w:b w:val="0"/>
                <w:bCs w:val="0"/>
                <w:color w:val="auto"/>
                <w:sz w:val="28"/>
                <w:szCs w:val="28"/>
                <w:lang w:val="en-US" w:eastAsia="zh-CN"/>
              </w:rPr>
              <w:t>海南农商行屯昌槟榔三路支行</w:t>
            </w:r>
          </w:p>
        </w:tc>
      </w:tr>
      <w:tr w14:paraId="63842A5A">
        <w:tblPrEx>
          <w:tblCellMar>
            <w:top w:w="0" w:type="dxa"/>
            <w:left w:w="108" w:type="dxa"/>
            <w:bottom w:w="0" w:type="dxa"/>
            <w:right w:w="108" w:type="dxa"/>
          </w:tblCellMar>
        </w:tblPrEx>
        <w:trPr>
          <w:trHeight w:val="586" w:hRule="atLeast"/>
          <w:jc w:val="center"/>
        </w:trPr>
        <w:tc>
          <w:tcPr>
            <w:tcW w:w="162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7A6E026C">
            <w:pPr>
              <w:jc w:val="center"/>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账号</w:t>
            </w:r>
          </w:p>
        </w:tc>
        <w:tc>
          <w:tcPr>
            <w:tcW w:w="7388" w:type="dxa"/>
            <w:tcBorders>
              <w:top w:val="single" w:color="000000" w:sz="4" w:space="0"/>
              <w:left w:val="single" w:color="000000" w:sz="4" w:space="0"/>
              <w:bottom w:val="single" w:color="000000" w:sz="4" w:space="0"/>
              <w:right w:val="single" w:color="000000" w:sz="4" w:space="0"/>
            </w:tcBorders>
            <w:shd w:val="clear" w:color="auto" w:fill="auto"/>
            <w:noWrap/>
            <w:vAlign w:val="center"/>
          </w:tcPr>
          <w:p w14:paraId="2FE4533A">
            <w:pPr>
              <w:jc w:val="center"/>
              <w:rPr>
                <w:rFonts w:hint="default"/>
                <w:lang w:val="en-US"/>
              </w:rPr>
            </w:pPr>
            <w:r>
              <w:rPr>
                <w:rFonts w:hint="eastAsia" w:ascii="新宋体" w:hAnsi="新宋体" w:eastAsia="新宋体" w:cs="新宋体"/>
                <w:b w:val="0"/>
                <w:bCs w:val="0"/>
                <w:color w:val="auto"/>
                <w:sz w:val="28"/>
                <w:szCs w:val="28"/>
                <w:lang w:val="en-US" w:eastAsia="zh-CN"/>
              </w:rPr>
              <w:t>1021644500000295</w:t>
            </w:r>
          </w:p>
        </w:tc>
      </w:tr>
    </w:tbl>
    <w:p w14:paraId="2D618B23">
      <w:pPr>
        <w:spacing w:line="520" w:lineRule="exact"/>
        <w:ind w:firstLine="560" w:firstLineChars="200"/>
        <w:rPr>
          <w:rFonts w:hint="eastAsia" w:ascii="新宋体" w:hAnsi="新宋体" w:eastAsia="新宋体" w:cs="Times New Roman"/>
          <w:color w:val="auto"/>
          <w:sz w:val="28"/>
          <w:szCs w:val="28"/>
        </w:rPr>
      </w:pPr>
    </w:p>
    <w:p w14:paraId="3B55DEF3">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1、竞买申请方注册平台账号和提交实名认证材料时，必须按照平台要求提供及时、详尽、准确、真实的</w:t>
      </w:r>
      <w:r>
        <w:rPr>
          <w:rFonts w:hint="eastAsia" w:ascii="新宋体" w:hAnsi="新宋体" w:eastAsia="新宋体" w:cs="Times New Roman"/>
          <w:color w:val="auto"/>
          <w:sz w:val="28"/>
          <w:szCs w:val="28"/>
          <w:lang w:val="en-US" w:eastAsia="zh-CN"/>
        </w:rPr>
        <w:t>个人或单位</w:t>
      </w:r>
      <w:r>
        <w:rPr>
          <w:rFonts w:hint="eastAsia" w:ascii="新宋体" w:hAnsi="新宋体" w:eastAsia="新宋体" w:cs="Times New Roman"/>
          <w:color w:val="auto"/>
          <w:sz w:val="28"/>
          <w:szCs w:val="28"/>
        </w:rPr>
        <w:t>注册资料，注册后如信息资料有任何变动，必须及时向平台提出更新申请，否则由此引起的经济及法律责任均由竞买方自行承担。</w:t>
      </w:r>
    </w:p>
    <w:p w14:paraId="6B1ECA4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竞买方对其平台账号安全负责。任何使用竞买方用户名和密码登录的用户，在系统的一切行为均视为该竞买方本人的行为，由竞买方承担一切后果，平台不承担任何责任。通过公共环境参与网络竞价活动的竞买方应注意账号安全，离开终端时应及时退出平台系统。</w:t>
      </w:r>
    </w:p>
    <w:p w14:paraId="5D5E1DCB">
      <w:pPr>
        <w:spacing w:line="520" w:lineRule="exact"/>
        <w:rPr>
          <w:rFonts w:hint="eastAsia" w:ascii="新宋体" w:hAnsi="新宋体" w:eastAsia="新宋体" w:cs="Times New Roman"/>
          <w:color w:val="auto"/>
          <w:sz w:val="28"/>
          <w:szCs w:val="28"/>
        </w:rPr>
      </w:pPr>
      <w:r>
        <w:rPr>
          <w:rFonts w:hint="eastAsia" w:ascii="新宋体" w:hAnsi="新宋体" w:eastAsia="新宋体" w:cs="Times New Roman"/>
          <w:color w:val="auto"/>
          <w:sz w:val="28"/>
          <w:szCs w:val="28"/>
        </w:rPr>
        <w:t>三、竞买方办理竞拍登记手续和交易保证金交纳，经</w:t>
      </w:r>
      <w:r>
        <w:rPr>
          <w:rFonts w:hint="eastAsia" w:ascii="新宋体" w:hAnsi="新宋体" w:eastAsia="新宋体" w:cs="Times New Roman"/>
          <w:color w:val="auto"/>
          <w:sz w:val="28"/>
          <w:szCs w:val="28"/>
          <w:lang w:val="en-US" w:eastAsia="zh-CN"/>
        </w:rPr>
        <w:t>平台审核</w:t>
      </w:r>
      <w:r>
        <w:rPr>
          <w:rFonts w:hint="eastAsia" w:ascii="新宋体" w:hAnsi="新宋体" w:eastAsia="新宋体" w:cs="Times New Roman"/>
          <w:color w:val="auto"/>
          <w:sz w:val="28"/>
          <w:szCs w:val="28"/>
        </w:rPr>
        <w:t>确认后，</w:t>
      </w:r>
      <w:r>
        <w:rPr>
          <w:rFonts w:hint="eastAsia" w:ascii="新宋体" w:hAnsi="新宋体" w:eastAsia="新宋体" w:cs="Times New Roman"/>
          <w:color w:val="auto"/>
          <w:sz w:val="28"/>
          <w:szCs w:val="28"/>
          <w:lang w:val="en-US" w:eastAsia="zh-CN"/>
        </w:rPr>
        <w:t>即可</w:t>
      </w:r>
      <w:r>
        <w:rPr>
          <w:rFonts w:hint="eastAsia" w:ascii="新宋体" w:hAnsi="新宋体" w:eastAsia="新宋体" w:cs="Times New Roman"/>
          <w:color w:val="auto"/>
          <w:sz w:val="28"/>
          <w:szCs w:val="28"/>
        </w:rPr>
        <w:t>于</w:t>
      </w:r>
      <w:r>
        <w:rPr>
          <w:rFonts w:hint="eastAsia" w:ascii="新宋体" w:hAnsi="新宋体" w:eastAsia="新宋体" w:cs="Times New Roman"/>
          <w:color w:val="auto"/>
          <w:sz w:val="28"/>
          <w:szCs w:val="28"/>
          <w:lang w:val="en-US" w:eastAsia="zh-CN"/>
        </w:rPr>
        <w:t>标的</w:t>
      </w:r>
      <w:r>
        <w:rPr>
          <w:rFonts w:hint="eastAsia" w:ascii="新宋体" w:hAnsi="新宋体" w:eastAsia="新宋体" w:cs="Times New Roman"/>
          <w:color w:val="auto"/>
          <w:sz w:val="28"/>
          <w:szCs w:val="28"/>
        </w:rPr>
        <w:t>竞价活动</w:t>
      </w:r>
      <w:r>
        <w:rPr>
          <w:rFonts w:hint="eastAsia" w:ascii="新宋体" w:hAnsi="新宋体" w:eastAsia="新宋体" w:cs="Times New Roman"/>
          <w:color w:val="auto"/>
          <w:sz w:val="28"/>
          <w:szCs w:val="28"/>
          <w:lang w:val="en-US" w:eastAsia="zh-CN"/>
        </w:rPr>
        <w:t>期间</w:t>
      </w:r>
      <w:r>
        <w:rPr>
          <w:rFonts w:hint="eastAsia" w:ascii="新宋体" w:hAnsi="新宋体" w:eastAsia="新宋体" w:cs="Times New Roman"/>
          <w:color w:val="auto"/>
          <w:sz w:val="28"/>
          <w:szCs w:val="28"/>
        </w:rPr>
        <w:t>，登录平台网站</w:t>
      </w:r>
      <w:r>
        <w:rPr>
          <w:rFonts w:hint="eastAsia" w:ascii="新宋体" w:hAnsi="新宋体" w:eastAsia="新宋体" w:cs="Times New Roman"/>
          <w:b w:val="0"/>
          <w:bCs w:val="0"/>
          <w:color w:val="auto"/>
          <w:sz w:val="28"/>
          <w:szCs w:val="28"/>
          <w:lang w:val="en-US" w:eastAsia="zh-CN"/>
        </w:rPr>
        <w:t>进行交易</w:t>
      </w:r>
      <w:r>
        <w:rPr>
          <w:rFonts w:hint="eastAsia" w:ascii="新宋体" w:hAnsi="新宋体" w:eastAsia="新宋体" w:cs="Times New Roman"/>
          <w:color w:val="auto"/>
          <w:sz w:val="28"/>
          <w:szCs w:val="28"/>
        </w:rPr>
        <w:t>。</w:t>
      </w:r>
    </w:p>
    <w:p w14:paraId="461D73EC">
      <w:pPr>
        <w:spacing w:line="520" w:lineRule="exact"/>
        <w:rPr>
          <w:rFonts w:hint="eastAsia"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lang w:eastAsia="zh-CN"/>
        </w:rPr>
        <w:t>（</w:t>
      </w:r>
      <w:r>
        <w:rPr>
          <w:rFonts w:hint="eastAsia" w:ascii="新宋体" w:hAnsi="新宋体" w:eastAsia="新宋体" w:cs="Times New Roman"/>
          <w:b w:val="0"/>
          <w:bCs w:val="0"/>
          <w:color w:val="auto"/>
          <w:sz w:val="28"/>
          <w:szCs w:val="28"/>
        </w:rPr>
        <w:t>https://tunchang.nongjiao.com/</w:t>
      </w:r>
      <w:r>
        <w:rPr>
          <w:rFonts w:hint="eastAsia" w:ascii="新宋体" w:hAnsi="新宋体" w:eastAsia="新宋体" w:cs="Times New Roman"/>
          <w:b w:val="0"/>
          <w:bCs w:val="0"/>
          <w:color w:val="auto"/>
          <w:sz w:val="28"/>
          <w:szCs w:val="28"/>
          <w:lang w:eastAsia="zh-CN"/>
        </w:rPr>
        <w:t>）</w:t>
      </w:r>
    </w:p>
    <w:p w14:paraId="6E9D2A3F">
      <w:pPr>
        <w:spacing w:line="520" w:lineRule="exact"/>
        <w:ind w:firstLine="560" w:firstLineChars="200"/>
        <w:jc w:val="left"/>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1、本次网络竞价标的</w:t>
      </w:r>
      <w:r>
        <w:rPr>
          <w:rFonts w:hint="eastAsia" w:ascii="新宋体" w:hAnsi="新宋体" w:eastAsia="新宋体" w:cs="Times New Roman"/>
          <w:b w:val="0"/>
          <w:bCs w:val="0"/>
          <w:color w:val="auto"/>
          <w:sz w:val="28"/>
          <w:szCs w:val="28"/>
          <w:lang w:val="en-US" w:eastAsia="zh-CN"/>
        </w:rPr>
        <w:t>为:</w:t>
      </w:r>
      <w:r>
        <w:rPr>
          <w:rFonts w:hint="eastAsia" w:ascii="新宋体" w:hAnsi="新宋体" w:eastAsia="新宋体" w:cs="Times New Roman"/>
          <w:b w:val="0"/>
          <w:bCs w:val="0"/>
          <w:color w:val="auto"/>
          <w:sz w:val="28"/>
          <w:szCs w:val="28"/>
          <w:u w:val="single"/>
          <w:lang w:val="en-US" w:eastAsia="zh-CN"/>
        </w:rPr>
        <w:t>屯昌县南坤镇藤寨墟农贸市场旁36㎡1号铁皮棚出租</w:t>
      </w:r>
      <w:r>
        <w:rPr>
          <w:rFonts w:hint="eastAsia" w:ascii="新宋体" w:hAnsi="新宋体" w:eastAsia="新宋体" w:cs="Times New Roman"/>
          <w:b w:val="0"/>
          <w:bCs w:val="0"/>
          <w:color w:val="auto"/>
          <w:sz w:val="28"/>
          <w:szCs w:val="28"/>
          <w:lang w:val="en-US" w:eastAsia="zh-CN"/>
        </w:rPr>
        <w:t>项目；</w:t>
      </w:r>
      <w:r>
        <w:rPr>
          <w:rFonts w:hint="eastAsia" w:ascii="新宋体" w:hAnsi="新宋体" w:eastAsia="新宋体" w:cs="Times New Roman"/>
          <w:color w:val="auto"/>
          <w:sz w:val="28"/>
          <w:szCs w:val="28"/>
          <w:lang w:val="en-US" w:eastAsia="zh-CN"/>
        </w:rPr>
        <w:t>起拍价为人民币￥</w:t>
      </w:r>
      <w:r>
        <w:rPr>
          <w:rFonts w:hint="eastAsia" w:ascii="新宋体" w:hAnsi="新宋体" w:eastAsia="新宋体" w:cs="Times New Roman"/>
          <w:color w:val="auto"/>
          <w:sz w:val="28"/>
          <w:szCs w:val="28"/>
          <w:u w:val="single"/>
          <w:lang w:val="en-US" w:eastAsia="zh-CN"/>
        </w:rPr>
        <w:t>5400</w:t>
      </w:r>
      <w:r>
        <w:rPr>
          <w:rFonts w:hint="eastAsia" w:ascii="新宋体" w:hAnsi="新宋体" w:eastAsia="新宋体" w:cs="Times New Roman"/>
          <w:color w:val="auto"/>
          <w:sz w:val="28"/>
          <w:szCs w:val="28"/>
          <w:u w:val="none"/>
          <w:lang w:val="en-US" w:eastAsia="zh-CN"/>
        </w:rPr>
        <w:t>元/年。</w:t>
      </w:r>
    </w:p>
    <w:p w14:paraId="72973ED0">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hint="eastAsia" w:ascii="新宋体" w:hAnsi="新宋体" w:eastAsia="新宋体" w:cs="Times New Roman"/>
          <w:color w:val="auto"/>
          <w:sz w:val="28"/>
          <w:szCs w:val="28"/>
        </w:rPr>
      </w:pPr>
      <w:r>
        <w:rPr>
          <w:rFonts w:hint="eastAsia" w:ascii="新宋体" w:hAnsi="新宋体" w:eastAsia="新宋体" w:cs="Times New Roman"/>
          <w:b w:val="0"/>
          <w:bCs w:val="0"/>
          <w:color w:val="auto"/>
          <w:sz w:val="28"/>
          <w:szCs w:val="28"/>
        </w:rPr>
        <w:t>本次网络竞价采用竞价方式（</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阶梯竞价、</w:t>
      </w:r>
      <w:r>
        <w:rPr>
          <w:rFonts w:hint="eastAsia" w:ascii="宋体" w:hAnsi="Times New Roman"/>
          <w:b w:val="0"/>
          <w:bCs w:val="0"/>
          <w:color w:val="auto"/>
          <w:lang w:eastAsia="zh-CN"/>
        </w:rPr>
        <w:t>□</w:t>
      </w:r>
      <w:r>
        <w:rPr>
          <w:rFonts w:hint="eastAsia" w:ascii="新宋体" w:hAnsi="新宋体" w:eastAsia="新宋体" w:cs="Times New Roman"/>
          <w:b w:val="0"/>
          <w:bCs w:val="0"/>
          <w:color w:val="auto"/>
          <w:sz w:val="28"/>
          <w:szCs w:val="28"/>
        </w:rPr>
        <w:t>自由竞价）。</w:t>
      </w:r>
    </w:p>
    <w:p w14:paraId="79AB93D8">
      <w:pPr>
        <w:pStyle w:val="4"/>
        <w:keepNext/>
        <w:keepLines/>
        <w:pageBreakBefore w:val="0"/>
        <w:widowControl w:val="0"/>
        <w:numPr>
          <w:ilvl w:val="0"/>
          <w:numId w:val="2"/>
        </w:numPr>
        <w:kinsoku/>
        <w:wordWrap/>
        <w:overflowPunct/>
        <w:topLinePunct w:val="0"/>
        <w:autoSpaceDE/>
        <w:autoSpaceDN/>
        <w:bidi w:val="0"/>
        <w:adjustRightInd/>
        <w:snapToGrid/>
        <w:spacing w:line="500" w:lineRule="exact"/>
        <w:ind w:firstLine="560" w:firstLineChars="200"/>
        <w:textAlignment w:val="auto"/>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竞买方接受出租（转让）方确定的交易条件，通过平台的网络竞价系统进行动态</w:t>
      </w:r>
      <w:r>
        <w:rPr>
          <w:rFonts w:hint="eastAsia" w:ascii="新宋体" w:hAnsi="新宋体" w:eastAsia="新宋体" w:cs="Times New Roman"/>
          <w:b w:val="0"/>
          <w:bCs w:val="0"/>
          <w:color w:val="FF0000"/>
          <w:sz w:val="28"/>
          <w:szCs w:val="28"/>
        </w:rPr>
        <w:t>递增（减）报价，将报价最高者确定为承租（受让）方的竞价方式（反向竞价以报价最低者确定为承租（受让）方）</w:t>
      </w:r>
      <w:r>
        <w:rPr>
          <w:rFonts w:hint="eastAsia" w:ascii="新宋体" w:hAnsi="新宋体" w:eastAsia="新宋体" w:cs="Times New Roman"/>
          <w:b w:val="0"/>
          <w:bCs w:val="0"/>
          <w:color w:val="auto"/>
          <w:sz w:val="28"/>
          <w:szCs w:val="28"/>
        </w:rPr>
        <w:t>。</w:t>
      </w:r>
    </w:p>
    <w:p w14:paraId="08C38E71">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4、本次竞价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价阶梯为人民币：</w:t>
      </w:r>
      <w:r>
        <w:rPr>
          <w:rFonts w:hint="eastAsia" w:ascii="新宋体" w:hAnsi="新宋体" w:eastAsia="新宋体" w:cs="Times New Roman"/>
          <w:b/>
          <w:bCs/>
          <w:color w:val="FF0000"/>
          <w:sz w:val="28"/>
          <w:szCs w:val="28"/>
          <w:u w:val="single"/>
          <w:lang w:val="en-US" w:eastAsia="zh-CN"/>
        </w:rPr>
        <w:t>100</w:t>
      </w:r>
      <w:r>
        <w:rPr>
          <w:rFonts w:hint="eastAsia" w:ascii="新宋体" w:hAnsi="新宋体" w:eastAsia="新宋体" w:cs="Times New Roman"/>
          <w:b w:val="0"/>
          <w:bCs w:val="0"/>
          <w:color w:val="auto"/>
          <w:sz w:val="28"/>
          <w:szCs w:val="28"/>
        </w:rPr>
        <w:t>元的整数倍（至少</w:t>
      </w:r>
      <w:r>
        <w:rPr>
          <w:rFonts w:hint="eastAsia" w:ascii="新宋体" w:hAnsi="新宋体" w:eastAsia="新宋体" w:cs="Times New Roman"/>
          <w:b w:val="0"/>
          <w:bCs w:val="0"/>
          <w:color w:val="auto"/>
          <w:sz w:val="28"/>
          <w:szCs w:val="28"/>
          <w:lang w:val="en-US" w:eastAsia="zh-CN"/>
        </w:rPr>
        <w:t>1</w:t>
      </w:r>
      <w:r>
        <w:rPr>
          <w:rFonts w:hint="eastAsia" w:ascii="新宋体" w:hAnsi="新宋体" w:eastAsia="新宋体" w:cs="Times New Roman"/>
          <w:b w:val="0"/>
          <w:bCs w:val="0"/>
          <w:color w:val="auto"/>
          <w:sz w:val="28"/>
          <w:szCs w:val="28"/>
        </w:rPr>
        <w:t>00元）。</w:t>
      </w:r>
    </w:p>
    <w:p w14:paraId="4F646994">
      <w:pPr>
        <w:pStyle w:val="4"/>
        <w:spacing w:line="400" w:lineRule="exact"/>
        <w:ind w:left="559" w:leftChars="266"/>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5、本次网络竞价</w:t>
      </w:r>
      <w:r>
        <w:rPr>
          <w:rFonts w:hint="eastAsia" w:ascii="新宋体" w:hAnsi="新宋体" w:eastAsia="新宋体" w:cs="Times New Roman"/>
          <w:b w:val="0"/>
          <w:bCs w:val="0"/>
          <w:color w:val="auto"/>
          <w:sz w:val="28"/>
          <w:szCs w:val="28"/>
          <w:lang w:val="en-US" w:eastAsia="zh-CN"/>
        </w:rPr>
        <w:t>由</w:t>
      </w:r>
      <w:r>
        <w:rPr>
          <w:rFonts w:hint="eastAsia" w:ascii="新宋体" w:hAnsi="新宋体" w:eastAsia="新宋体" w:cs="Times New Roman"/>
          <w:b w:val="0"/>
          <w:bCs w:val="0"/>
          <w:color w:val="auto"/>
          <w:sz w:val="28"/>
          <w:szCs w:val="28"/>
        </w:rPr>
        <w:t>自由报价期和延时报价期，两个竞价期组成。</w:t>
      </w:r>
    </w:p>
    <w:p w14:paraId="0D60DC4C">
      <w:pPr>
        <w:spacing w:line="4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6、自由竞价期从</w:t>
      </w:r>
      <w:r>
        <w:rPr>
          <w:rFonts w:hint="eastAsia" w:ascii="新宋体" w:hAnsi="新宋体" w:eastAsia="新宋体" w:cs="Times New Roman"/>
          <w:b w:val="0"/>
          <w:bCs w:val="0"/>
          <w:color w:val="auto"/>
          <w:sz w:val="28"/>
          <w:szCs w:val="28"/>
          <w:u w:val="single"/>
          <w:lang w:val="en-US" w:eastAsia="zh-CN"/>
        </w:rPr>
        <w:t>2026/5/20 10:00:00</w:t>
      </w:r>
      <w:r>
        <w:rPr>
          <w:rFonts w:hint="eastAsia" w:ascii="新宋体" w:hAnsi="新宋体" w:eastAsia="新宋体" w:cs="Times New Roman"/>
          <w:b w:val="0"/>
          <w:bCs w:val="0"/>
          <w:color w:val="auto"/>
          <w:sz w:val="28"/>
          <w:szCs w:val="28"/>
        </w:rPr>
        <w:t>准点开始（以竞价系统显示时间为准），自由竞价期结束后即进入延时报价期，竞价期可由多个延时竞价周期组成，每个延时竞价周期为</w:t>
      </w:r>
      <w:r>
        <w:rPr>
          <w:rFonts w:hint="eastAsia" w:ascii="新宋体" w:hAnsi="新宋体" w:eastAsia="新宋体" w:cs="Times New Roman"/>
          <w:b/>
          <w:bCs/>
          <w:color w:val="FF0000"/>
          <w:sz w:val="28"/>
          <w:szCs w:val="28"/>
          <w:u w:val="single"/>
        </w:rPr>
        <w:t>5</w:t>
      </w:r>
      <w:r>
        <w:rPr>
          <w:rFonts w:hint="eastAsia" w:ascii="新宋体" w:hAnsi="新宋体" w:eastAsia="新宋体" w:cs="Times New Roman"/>
          <w:b w:val="0"/>
          <w:bCs w:val="0"/>
          <w:color w:val="auto"/>
          <w:sz w:val="28"/>
          <w:szCs w:val="28"/>
        </w:rPr>
        <w:t>分钟。</w:t>
      </w:r>
    </w:p>
    <w:p w14:paraId="0E88208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7、在一个延时竞价周期内如未出现新的有效报价，则当前有效报价方成为该次网络竞价活动的最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报价方。</w:t>
      </w:r>
    </w:p>
    <w:p w14:paraId="2D6B34F9">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8、竞买方须谨慎在网络报价，</w:t>
      </w:r>
      <w:r>
        <w:rPr>
          <w:rFonts w:hint="eastAsia" w:ascii="新宋体" w:hAnsi="新宋体" w:eastAsia="新宋体" w:cs="Times New Roman"/>
          <w:b/>
          <w:bCs/>
          <w:color w:val="auto"/>
          <w:sz w:val="28"/>
          <w:szCs w:val="28"/>
        </w:rPr>
        <w:t>网络报价一经提交</w:t>
      </w:r>
      <w:r>
        <w:rPr>
          <w:rFonts w:hint="eastAsia" w:ascii="新宋体" w:hAnsi="新宋体" w:eastAsia="新宋体" w:cs="Times New Roman"/>
          <w:b w:val="0"/>
          <w:bCs w:val="0"/>
          <w:color w:val="auto"/>
          <w:sz w:val="28"/>
          <w:szCs w:val="28"/>
        </w:rPr>
        <w:t>并经平台记录即视为有效报价，竞买方</w:t>
      </w:r>
      <w:r>
        <w:rPr>
          <w:rFonts w:hint="eastAsia" w:ascii="新宋体" w:hAnsi="新宋体" w:eastAsia="新宋体" w:cs="Times New Roman"/>
          <w:b/>
          <w:bCs/>
          <w:color w:val="auto"/>
          <w:sz w:val="28"/>
          <w:szCs w:val="28"/>
        </w:rPr>
        <w:t>不可变更或撤销</w:t>
      </w:r>
      <w:r>
        <w:rPr>
          <w:rFonts w:hint="eastAsia" w:ascii="新宋体" w:hAnsi="新宋体" w:eastAsia="新宋体" w:cs="Times New Roman"/>
          <w:b w:val="0"/>
          <w:bCs w:val="0"/>
          <w:color w:val="auto"/>
          <w:sz w:val="28"/>
          <w:szCs w:val="28"/>
        </w:rPr>
        <w:t>。</w:t>
      </w:r>
    </w:p>
    <w:p w14:paraId="3F11DEF3">
      <w:pPr>
        <w:spacing w:line="500" w:lineRule="exact"/>
        <w:ind w:firstLine="560" w:firstLineChars="200"/>
        <w:rPr>
          <w:b w:val="0"/>
          <w:bCs w:val="0"/>
          <w:color w:val="auto"/>
        </w:rPr>
      </w:pPr>
      <w:r>
        <w:rPr>
          <w:rFonts w:hint="eastAsia" w:ascii="新宋体" w:hAnsi="新宋体" w:eastAsia="新宋体" w:cs="Times New Roman"/>
          <w:b w:val="0"/>
          <w:bCs w:val="0"/>
          <w:color w:val="auto"/>
          <w:sz w:val="28"/>
          <w:szCs w:val="28"/>
        </w:rPr>
        <w:t>9、首个竞买方初次竞买报价可等于标的起拍价，之后每次竞买报价必须比当前最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报价递增一个</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价幅度以上的价格，且</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价按最小</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价幅度的整数倍加价。只有满足竞价</w:t>
      </w:r>
      <w:r>
        <w:rPr>
          <w:rFonts w:hint="eastAsia" w:ascii="新宋体" w:hAnsi="新宋体" w:eastAsia="新宋体" w:cs="Times New Roman"/>
          <w:b w:val="0"/>
          <w:bCs w:val="0"/>
          <w:color w:val="FF0000"/>
          <w:sz w:val="28"/>
          <w:szCs w:val="28"/>
        </w:rPr>
        <w:t>加（减）</w:t>
      </w:r>
      <w:r>
        <w:rPr>
          <w:rFonts w:hint="eastAsia" w:ascii="新宋体" w:hAnsi="新宋体" w:eastAsia="新宋体" w:cs="Times New Roman"/>
          <w:b w:val="0"/>
          <w:bCs w:val="0"/>
          <w:color w:val="auto"/>
          <w:sz w:val="28"/>
          <w:szCs w:val="28"/>
        </w:rPr>
        <w:t>价幅度等竞买相关条件的报价，系统才予以接受，并即时显示报价结果。</w:t>
      </w:r>
    </w:p>
    <w:p w14:paraId="5D39C7A3">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10、所有竞买方在竞拍的标的物进入信息公告最后阶段，务必登录平台，密切观察交易动态，以确定信息公告的标的是否转为网络竞价状态，并参与竞拍。竞买方不得以不知道交易公告的标的转为网络竞价为由提出任何异议。</w:t>
      </w:r>
    </w:p>
    <w:p w14:paraId="3A2865DD">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11、竞买方应尽量避免在竞拍倒计时截止前的最后1分钟内进行竞买报价，以防止因网络延迟造成系统无法接受报价导致报价无效。</w:t>
      </w:r>
    </w:p>
    <w:p w14:paraId="076F53C2">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12、竞拍最</w:t>
      </w:r>
      <w:r>
        <w:rPr>
          <w:rFonts w:hint="eastAsia" w:ascii="新宋体" w:hAnsi="新宋体" w:eastAsia="新宋体" w:cs="Times New Roman"/>
          <w:b w:val="0"/>
          <w:bCs w:val="0"/>
          <w:color w:val="FF0000"/>
          <w:sz w:val="28"/>
          <w:szCs w:val="28"/>
        </w:rPr>
        <w:t>高（低）</w:t>
      </w:r>
      <w:r>
        <w:rPr>
          <w:rFonts w:hint="eastAsia" w:ascii="新宋体" w:hAnsi="新宋体" w:eastAsia="新宋体" w:cs="Times New Roman"/>
          <w:b w:val="0"/>
          <w:bCs w:val="0"/>
          <w:color w:val="auto"/>
          <w:sz w:val="28"/>
          <w:szCs w:val="28"/>
        </w:rPr>
        <w:t>报价的结果以系统记录数据为准。</w:t>
      </w:r>
    </w:p>
    <w:p w14:paraId="523C9F43">
      <w:pPr>
        <w:spacing w:line="500" w:lineRule="exact"/>
        <w:ind w:firstLine="560" w:firstLineChars="200"/>
        <w:rPr>
          <w:rFonts w:ascii="新宋体" w:hAnsi="新宋体" w:eastAsia="新宋体" w:cs="Times New Roman"/>
          <w:b/>
          <w:bCs/>
          <w:color w:val="auto"/>
          <w:sz w:val="28"/>
          <w:szCs w:val="28"/>
        </w:rPr>
      </w:pPr>
      <w:r>
        <w:rPr>
          <w:rFonts w:hint="eastAsia" w:ascii="新宋体" w:hAnsi="新宋体" w:eastAsia="新宋体" w:cs="Times New Roman"/>
          <w:b w:val="0"/>
          <w:bCs w:val="0"/>
          <w:color w:val="auto"/>
          <w:sz w:val="28"/>
          <w:szCs w:val="28"/>
        </w:rPr>
        <w:t>13、</w:t>
      </w:r>
      <w:r>
        <w:rPr>
          <w:rFonts w:hint="eastAsia" w:ascii="新宋体" w:hAnsi="新宋体" w:eastAsia="新宋体" w:cs="Times New Roman"/>
          <w:b/>
          <w:bCs/>
          <w:color w:val="auto"/>
          <w:sz w:val="28"/>
          <w:szCs w:val="28"/>
        </w:rPr>
        <w:t>因竞买方如下行为产生的一切后果，平台不承担任何责任：</w:t>
      </w:r>
    </w:p>
    <w:p w14:paraId="2E9C9221">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（1）未及时关注平台发布的竞价活动相关信息的；</w:t>
      </w:r>
    </w:p>
    <w:p w14:paraId="3648235C">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（2）所填写的信息不真实、不准确或不完整而造成注册账户无法使用或交易保证金无法退还的；</w:t>
      </w:r>
    </w:p>
    <w:p w14:paraId="52CA4A6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（3）所提交的信息不真实、不完善、不准确而导致自身未通过资格条件审核的；</w:t>
      </w:r>
    </w:p>
    <w:p w14:paraId="1738A644">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（4）交易保证金交纳不及时的；</w:t>
      </w:r>
    </w:p>
    <w:p w14:paraId="49ECA2F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（5）由于竞买方自身的终端设备和网络异常等原因导致无法正常报价的；</w:t>
      </w:r>
    </w:p>
    <w:p w14:paraId="145830DE">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（6）网络竞价活动的时间以网络竞价系统服务器时间为准，由于竞买方自身终端设备时间与网络竞价服务器时间不符而导致的未按时参与报价的；</w:t>
      </w:r>
    </w:p>
    <w:p w14:paraId="4E0C3BFE">
      <w:pPr>
        <w:spacing w:line="50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14、网络竞价系统因不可抗力、软硬件故障、非法入侵、恶意攻击等原因而导致系统异常、竞价活动中断的，当次网络竞价结果无效。平台</w:t>
      </w:r>
      <w:r>
        <w:rPr>
          <w:rFonts w:hint="eastAsia" w:ascii="新宋体" w:hAnsi="新宋体" w:eastAsia="新宋体" w:cs="Times New Roman"/>
          <w:b w:val="0"/>
          <w:bCs w:val="0"/>
          <w:color w:val="auto"/>
          <w:sz w:val="28"/>
          <w:szCs w:val="28"/>
          <w:lang w:val="en-US" w:eastAsia="zh-CN"/>
        </w:rPr>
        <w:t>应</w:t>
      </w:r>
      <w:r>
        <w:rPr>
          <w:rFonts w:hint="eastAsia" w:ascii="新宋体" w:hAnsi="新宋体" w:eastAsia="新宋体" w:cs="Times New Roman"/>
          <w:b w:val="0"/>
          <w:bCs w:val="0"/>
          <w:color w:val="auto"/>
          <w:sz w:val="28"/>
          <w:szCs w:val="28"/>
        </w:rPr>
        <w:t>当</w:t>
      </w:r>
      <w:r>
        <w:rPr>
          <w:rFonts w:hint="eastAsia" w:ascii="新宋体" w:hAnsi="新宋体" w:eastAsia="新宋体" w:cs="Times New Roman"/>
          <w:b w:val="0"/>
          <w:bCs w:val="0"/>
          <w:color w:val="auto"/>
          <w:sz w:val="28"/>
          <w:szCs w:val="28"/>
          <w:lang w:val="en-US" w:eastAsia="zh-CN"/>
        </w:rPr>
        <w:t>立</w:t>
      </w:r>
      <w:r>
        <w:rPr>
          <w:rFonts w:hint="eastAsia" w:ascii="新宋体" w:hAnsi="新宋体" w:eastAsia="新宋体" w:cs="Times New Roman"/>
          <w:b w:val="0"/>
          <w:bCs w:val="0"/>
          <w:color w:val="auto"/>
          <w:sz w:val="28"/>
          <w:szCs w:val="28"/>
        </w:rPr>
        <w:t>即与出租（转让）方协商后续方案，并将结果及时通知各竞买方，平台运营单位有权中止（冻结）</w:t>
      </w:r>
      <w:r>
        <w:rPr>
          <w:rFonts w:hint="eastAsia" w:ascii="新宋体" w:hAnsi="新宋体" w:eastAsia="新宋体" w:cs="Times New Roman"/>
          <w:b w:val="0"/>
          <w:bCs w:val="0"/>
          <w:color w:val="auto"/>
          <w:sz w:val="28"/>
          <w:szCs w:val="28"/>
          <w:lang w:val="en-US" w:eastAsia="zh-CN"/>
        </w:rPr>
        <w:t>有关</w:t>
      </w:r>
      <w:r>
        <w:rPr>
          <w:rFonts w:hint="eastAsia" w:ascii="新宋体" w:hAnsi="新宋体" w:eastAsia="新宋体" w:cs="Times New Roman"/>
          <w:b w:val="0"/>
          <w:bCs w:val="0"/>
          <w:color w:val="auto"/>
          <w:sz w:val="28"/>
          <w:szCs w:val="28"/>
        </w:rPr>
        <w:t>标的物</w:t>
      </w:r>
      <w:r>
        <w:rPr>
          <w:rFonts w:hint="eastAsia" w:ascii="新宋体" w:hAnsi="新宋体" w:eastAsia="新宋体" w:cs="Times New Roman"/>
          <w:b w:val="0"/>
          <w:bCs w:val="0"/>
          <w:color w:val="auto"/>
          <w:sz w:val="28"/>
          <w:szCs w:val="28"/>
          <w:lang w:val="en-US" w:eastAsia="zh-CN"/>
        </w:rPr>
        <w:t>的</w:t>
      </w:r>
      <w:r>
        <w:rPr>
          <w:rFonts w:hint="eastAsia" w:ascii="新宋体" w:hAnsi="新宋体" w:eastAsia="新宋体" w:cs="Times New Roman"/>
          <w:b w:val="0"/>
          <w:bCs w:val="0"/>
          <w:color w:val="auto"/>
          <w:sz w:val="28"/>
          <w:szCs w:val="28"/>
        </w:rPr>
        <w:t>竞价活动，待问题解决后依程序再行恢复竞价活动，同时平台不承担任何责任。主要行为包括但不限于以下：</w:t>
      </w:r>
    </w:p>
    <w:p w14:paraId="2C0DA2A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（1）网络交易系统被黑客侵入、破坏导致无法正常运行；</w:t>
      </w:r>
    </w:p>
    <w:p w14:paraId="75686A43">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（2）电信部门技术调整、电信线路或网络故障导致信息无法传递；</w:t>
      </w:r>
    </w:p>
    <w:p w14:paraId="3997A71F">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（3）电力故障；</w:t>
      </w:r>
    </w:p>
    <w:p w14:paraId="0E06B312">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（4）系统升级、系统设备故障；</w:t>
      </w:r>
    </w:p>
    <w:p w14:paraId="1317D250">
      <w:pPr>
        <w:spacing w:line="50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（5）平台服务器、平台运营单位办公区域出现不可抗力因素导致无法正常实施网络交易活动；</w:t>
      </w:r>
    </w:p>
    <w:p w14:paraId="754FB637">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（6）因操作失误导致起拍价、加（减）价幅度、竞价期结束时间周期等设置错误的；</w:t>
      </w:r>
    </w:p>
    <w:p w14:paraId="1DA33558">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（7）经平台运营单位或委托人核实的其他原因；</w:t>
      </w:r>
    </w:p>
    <w:p w14:paraId="62D493CB">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（8）平台认为需要中止网络竞价活动的其他情形。</w:t>
      </w:r>
    </w:p>
    <w:p w14:paraId="497BA09B">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15、第14条所列的情形消失后，平台应当解除冻结，恢复交易。在信息公告阶段中止（冻结）交易的，解除冻结后，信息公告期限应顺延，顺延时间不少于冻结交易的时间；在网络竞价阶段中止（冻结）或重新竞拍交易的，解除冻结后，系统开始新一轮的竞价。</w:t>
      </w:r>
    </w:p>
    <w:p w14:paraId="3E73E01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16、采取中止竞价活动的，平台将按照出租（转让）方要求的时间和方式继续竞价或重新竞价，平台通知各竞买方。</w:t>
      </w:r>
    </w:p>
    <w:p w14:paraId="71703BDD">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17、因不可抗力、软硬件故障、非法入侵、恶意攻击等原因导致平台网站服务异常、竞价活动异常的，平台可以根据相关约定重新组织实施竞价或再次发布转让信息公告。</w:t>
      </w:r>
    </w:p>
    <w:p w14:paraId="22DDCD28">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18、在竞拍开始前和竞拍期间，标的物出现下列情形的，平台运营单位应当终止平台交易活动，待问题解决后依程序重新实施竞拍活动：</w:t>
      </w:r>
    </w:p>
    <w:p w14:paraId="6DD6D1C1">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（1）人民法院、检察院或其他有权机关向委托人及其上级主管部门书面通知冻结、查封标的土地的；</w:t>
      </w:r>
    </w:p>
    <w:p w14:paraId="667903B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（2）有证据表明标的物存在权属争议的；</w:t>
      </w:r>
    </w:p>
    <w:p w14:paraId="1D129AAC">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（3）竞买方之间发生恶意串通、违规交易行为，经查证属实的；</w:t>
      </w:r>
    </w:p>
    <w:p w14:paraId="408465E4">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（4）因国家政策调整导致标的物原先确定的土地使用条件发生重大变化或无法实施的；</w:t>
      </w:r>
    </w:p>
    <w:p w14:paraId="0E73EDF9">
      <w:pPr>
        <w:spacing w:line="52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（5）平台或委托方核实的其他情形。</w:t>
      </w:r>
    </w:p>
    <w:p w14:paraId="319ED59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19、中止（冻结）竞拍活动，平台运营单位应当在平台发布相关信息。竞买方可以通过邮件、电话联系等方式或者直接向运营单位咨询，以获得标的中止（冻结）交易和解除冻结的相关信息。</w:t>
      </w:r>
    </w:p>
    <w:p w14:paraId="451A3786">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20、竞买方有下列违约行为之一的，其所交纳的交易保证金将作为违约金扣除，平台有权中止、取消其竞得资格，并将其列入平台黑名单；造成平台及相关方损失的，由竞买方依法承担赔偿损失等法律责任。</w:t>
      </w:r>
    </w:p>
    <w:p w14:paraId="70D4DEA2">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（1）竞买方不按平台注册登记的要求提供有关文件材料、提供虚假文件或隐瞒事实的；</w:t>
      </w:r>
    </w:p>
    <w:p w14:paraId="166B103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（2）因竞买方原因未在规定的时间内与出租（转让）方签订交易合同的；竞买方无故不推进交易或无故放弃受让的；</w:t>
      </w:r>
    </w:p>
    <w:p w14:paraId="1FC2C1F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（3）因竞买方原因未按照规定支付交易价款和交易服务费的；</w:t>
      </w:r>
    </w:p>
    <w:p w14:paraId="7B99F1C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（4）竞买方违反公平竞争原则，实施串通竞价、恶意抬价、排挤其他竞买方，或者其他扰乱竞价交易活动秩序等侵害出租（转让）方合法权益，违反法律、法规、规章规定的；</w:t>
      </w:r>
    </w:p>
    <w:p w14:paraId="23C7196B">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（5）竞买方违反法律法规或相关规定给出租（转让）方、平台造成损失的；</w:t>
      </w:r>
    </w:p>
    <w:p w14:paraId="0EDD3926">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（6）信息公告中约定的交易保证金不予退还的其他情形；</w:t>
      </w:r>
    </w:p>
    <w:p w14:paraId="1C3B109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（7）同一自然人、法人或其他组织同时以竞买方和出租（转让）方的身份参与竞价交易活动的。</w:t>
      </w:r>
    </w:p>
    <w:p w14:paraId="6E5D2F4A">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21、应价时间截止，所有竞买方均未报价导致本次网络竞价终结的，视为违约，所有竞买方交纳的交易保证金将不予退还。</w:t>
      </w:r>
    </w:p>
    <w:p w14:paraId="556DF67E">
      <w:pPr>
        <w:spacing w:line="580" w:lineRule="exact"/>
        <w:ind w:firstLine="562" w:firstLineChars="200"/>
        <w:rPr>
          <w:rFonts w:ascii="新宋体" w:hAnsi="新宋体" w:eastAsia="新宋体" w:cs="Times New Roman"/>
          <w:b/>
          <w:bCs/>
          <w:color w:val="auto"/>
          <w:sz w:val="28"/>
          <w:szCs w:val="28"/>
        </w:rPr>
      </w:pPr>
      <w:r>
        <w:rPr>
          <w:rFonts w:hint="eastAsia" w:ascii="新宋体" w:hAnsi="新宋体" w:eastAsia="新宋体" w:cs="Times New Roman"/>
          <w:b/>
          <w:bCs/>
          <w:color w:val="auto"/>
          <w:sz w:val="28"/>
          <w:szCs w:val="28"/>
        </w:rPr>
        <w:t>22、成交结果以平台出具的《标的竞得书》为准。平台在竞价结束的2个工作日内向竞得方出具《标的竞得书》。竞得人凭《标的竞得书》与委托单位在公告要求的时限内签订交易合同，平台对合同内容按规定进行形式审核，审核通过后解冻竞得人的交易保证金。竞得人需要在交易合同签订的5个工作日内按规定标准缴纳交易服务费。</w:t>
      </w:r>
    </w:p>
    <w:p w14:paraId="7B76475E">
      <w:pPr>
        <w:spacing w:line="500" w:lineRule="exact"/>
        <w:ind w:firstLine="560" w:firstLineChars="200"/>
        <w:rPr>
          <w:rFonts w:ascii="新宋体" w:hAnsi="新宋体" w:eastAsia="新宋体" w:cs="Times New Roman"/>
          <w:b w:val="0"/>
          <w:bCs w:val="0"/>
          <w:color w:val="000000" w:themeColor="text1"/>
          <w:sz w:val="28"/>
          <w:szCs w:val="28"/>
          <w14:textFill>
            <w14:solidFill>
              <w14:schemeClr w14:val="tx1"/>
            </w14:solidFill>
          </w14:textFill>
        </w:rPr>
      </w:pPr>
      <w:r>
        <w:rPr>
          <w:rFonts w:hint="eastAsia" w:ascii="新宋体" w:hAnsi="新宋体" w:eastAsia="新宋体" w:cs="Times New Roman"/>
          <w:b w:val="0"/>
          <w:bCs w:val="0"/>
          <w:color w:val="000000" w:themeColor="text1"/>
          <w:sz w:val="28"/>
          <w:szCs w:val="28"/>
          <w14:textFill>
            <w14:solidFill>
              <w14:schemeClr w14:val="tx1"/>
            </w14:solidFill>
          </w14:textFill>
        </w:rPr>
        <w:t>23、服务费收费标准：</w:t>
      </w:r>
    </w:p>
    <w:p w14:paraId="443A47D0">
      <w:pPr>
        <w:spacing w:line="500" w:lineRule="exact"/>
        <w:ind w:firstLine="560" w:firstLineChars="20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r>
        <w:rPr>
          <w:rFonts w:hint="eastAsia" w:ascii="新宋体" w:hAnsi="新宋体" w:eastAsia="新宋体" w:cs="新宋体"/>
          <w:b/>
          <w:bCs/>
          <w:color w:val="000000" w:themeColor="text1"/>
          <w:sz w:val="28"/>
          <w:szCs w:val="28"/>
          <w:shd w:val="clear" w:color="auto" w:fill="FFFFFF"/>
          <w14:textFill>
            <w14:solidFill>
              <w14:schemeClr w14:val="tx1"/>
            </w14:solidFill>
          </w14:textFill>
        </w:rPr>
        <w:t>一人出价竞得交易服务费</w:t>
      </w:r>
      <w:r>
        <w:rPr>
          <w:rFonts w:hint="eastAsia" w:ascii="新宋体" w:hAnsi="新宋体" w:eastAsia="新宋体" w:cs="新宋体"/>
          <w:b w:val="0"/>
          <w:bCs w:val="0"/>
          <w:color w:val="000000" w:themeColor="text1"/>
          <w:sz w:val="28"/>
          <w:szCs w:val="28"/>
          <w:shd w:val="clear" w:color="auto" w:fill="FFFFFF"/>
          <w14:textFill>
            <w14:solidFill>
              <w14:schemeClr w14:val="tx1"/>
            </w14:solidFill>
          </w14:textFill>
        </w:rPr>
        <w:t>的收费标准采用差额递减累进方式计算，以成交金额（合同总价格）为基数，双向收取，标准如下： </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4485"/>
        <w:gridCol w:w="3735"/>
      </w:tblGrid>
      <w:tr w14:paraId="531B629F">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2CD2884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3735" w:type="dxa"/>
            <w:shd w:val="clear" w:color="auto" w:fill="FFFFFF"/>
            <w:vAlign w:val="center"/>
          </w:tcPr>
          <w:p w14:paraId="1A5BFEBF">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差额计费率（%）</w:t>
            </w:r>
          </w:p>
        </w:tc>
      </w:tr>
      <w:tr w14:paraId="761949A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4B5238E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3735" w:type="dxa"/>
            <w:shd w:val="clear" w:color="auto" w:fill="FFFFFF"/>
            <w:vAlign w:val="center"/>
          </w:tcPr>
          <w:p w14:paraId="79BE01C2">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356720F6">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9700CA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3735" w:type="dxa"/>
            <w:shd w:val="clear" w:color="auto" w:fill="FFFFFF"/>
            <w:vAlign w:val="center"/>
          </w:tcPr>
          <w:p w14:paraId="0E05CF9B">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47F0C3B7">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4485" w:type="dxa"/>
            <w:shd w:val="clear" w:color="auto" w:fill="FFFFFF"/>
            <w:vAlign w:val="center"/>
          </w:tcPr>
          <w:p w14:paraId="45F076D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3735" w:type="dxa"/>
            <w:shd w:val="clear" w:color="auto" w:fill="FFFFFF"/>
            <w:vAlign w:val="center"/>
          </w:tcPr>
          <w:p w14:paraId="3839C10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51132184">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3EA4278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3735" w:type="dxa"/>
            <w:shd w:val="clear" w:color="auto" w:fill="FFFFFF"/>
            <w:vAlign w:val="center"/>
          </w:tcPr>
          <w:p w14:paraId="4C17C46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r w14:paraId="7C7F8E89">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4485" w:type="dxa"/>
            <w:shd w:val="clear" w:color="auto" w:fill="FFFFFF"/>
            <w:vAlign w:val="center"/>
          </w:tcPr>
          <w:p w14:paraId="5C075A0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3735" w:type="dxa"/>
            <w:shd w:val="clear" w:color="auto" w:fill="FFFFFF"/>
            <w:vAlign w:val="center"/>
          </w:tcPr>
          <w:p w14:paraId="1F2757C3">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0.3</w:t>
            </w:r>
          </w:p>
        </w:tc>
      </w:tr>
    </w:tbl>
    <w:p w14:paraId="7EE09207">
      <w:pPr>
        <w:pStyle w:val="11"/>
        <w:widowControl/>
        <w:shd w:val="clear" w:color="auto" w:fill="FFFFFF"/>
        <w:spacing w:beforeAutospacing="0" w:afterAutospacing="0" w:line="500" w:lineRule="exact"/>
        <w:ind w:firstLine="420"/>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pP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（2）</w:t>
      </w:r>
      <w:r>
        <w:rPr>
          <w:rFonts w:hint="eastAsia" w:ascii="新宋体" w:hAnsi="新宋体" w:eastAsia="新宋体" w:cs="新宋体"/>
          <w:b/>
          <w:bCs/>
          <w:color w:val="000000" w:themeColor="text1"/>
          <w:kern w:val="2"/>
          <w:sz w:val="28"/>
          <w:szCs w:val="28"/>
          <w:shd w:val="clear" w:color="auto" w:fill="FFFFFF"/>
          <w14:textFill>
            <w14:solidFill>
              <w14:schemeClr w14:val="tx1"/>
            </w14:solidFill>
          </w14:textFill>
        </w:rPr>
        <w:t>二人以上出价竞价服务费</w:t>
      </w:r>
      <w:r>
        <w:rPr>
          <w:rFonts w:hint="eastAsia" w:ascii="新宋体" w:hAnsi="新宋体" w:eastAsia="新宋体" w:cs="新宋体"/>
          <w:b w:val="0"/>
          <w:bCs w:val="0"/>
          <w:color w:val="000000" w:themeColor="text1"/>
          <w:kern w:val="2"/>
          <w:sz w:val="28"/>
          <w:szCs w:val="28"/>
          <w:shd w:val="clear" w:color="auto" w:fill="FFFFFF"/>
          <w14:textFill>
            <w14:solidFill>
              <w14:schemeClr w14:val="tx1"/>
            </w14:solidFill>
          </w14:textFill>
        </w:rPr>
        <w:t>的收费标准采用差额递减累进方式计算，以成交总金额（合同总价格）为基数，双向收取，标准如下：</w:t>
      </w:r>
    </w:p>
    <w:tbl>
      <w:tblPr>
        <w:tblStyle w:val="12"/>
        <w:tblW w:w="0" w:type="auto"/>
        <w:tblInd w:w="0" w:type="dxa"/>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Layout w:type="autofit"/>
        <w:tblCellMar>
          <w:top w:w="0" w:type="dxa"/>
          <w:left w:w="0" w:type="dxa"/>
          <w:bottom w:w="0" w:type="dxa"/>
          <w:right w:w="0" w:type="dxa"/>
        </w:tblCellMar>
      </w:tblPr>
      <w:tblGrid>
        <w:gridCol w:w="3705"/>
        <w:gridCol w:w="4350"/>
      </w:tblGrid>
      <w:tr w14:paraId="1BE8804E">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1AA998C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成交金额（人民币万元）</w:t>
            </w:r>
          </w:p>
        </w:tc>
        <w:tc>
          <w:tcPr>
            <w:tcW w:w="4350" w:type="dxa"/>
            <w:shd w:val="clear" w:color="auto" w:fill="FFFFFF"/>
            <w:vAlign w:val="center"/>
          </w:tcPr>
          <w:p w14:paraId="09A51B46">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计费率（%）</w:t>
            </w:r>
          </w:p>
        </w:tc>
      </w:tr>
      <w:tr w14:paraId="42A1A75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3E4AC0C4">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100（含）以下</w:t>
            </w:r>
          </w:p>
        </w:tc>
        <w:tc>
          <w:tcPr>
            <w:tcW w:w="4350" w:type="dxa"/>
            <w:shd w:val="clear" w:color="auto" w:fill="FFFFFF"/>
            <w:vAlign w:val="center"/>
          </w:tcPr>
          <w:p w14:paraId="1CF1973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1.2</w:t>
            </w:r>
          </w:p>
        </w:tc>
      </w:tr>
      <w:tr w14:paraId="0694167B">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c>
          <w:tcPr>
            <w:tcW w:w="3705" w:type="dxa"/>
            <w:shd w:val="clear" w:color="auto" w:fill="FFFFFF"/>
            <w:vAlign w:val="center"/>
          </w:tcPr>
          <w:p w14:paraId="2511FE41">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100-500（含）</w:t>
            </w:r>
          </w:p>
        </w:tc>
        <w:tc>
          <w:tcPr>
            <w:tcW w:w="4350" w:type="dxa"/>
            <w:shd w:val="clear" w:color="auto" w:fill="FFFFFF"/>
            <w:vAlign w:val="center"/>
          </w:tcPr>
          <w:p w14:paraId="2CEC2A57">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w:t>
            </w:r>
          </w:p>
        </w:tc>
      </w:tr>
      <w:tr w14:paraId="79894042">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tblCellMar>
            <w:top w:w="0" w:type="dxa"/>
            <w:left w:w="0" w:type="dxa"/>
            <w:bottom w:w="0" w:type="dxa"/>
            <w:right w:w="0" w:type="dxa"/>
          </w:tblCellMar>
        </w:tblPrEx>
        <w:trPr>
          <w:trHeight w:val="519" w:hRule="atLeast"/>
        </w:trPr>
        <w:tc>
          <w:tcPr>
            <w:tcW w:w="3705" w:type="dxa"/>
            <w:shd w:val="clear" w:color="auto" w:fill="FFFFFF"/>
            <w:vAlign w:val="center"/>
          </w:tcPr>
          <w:p w14:paraId="76170450">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500-1000（含）</w:t>
            </w:r>
          </w:p>
        </w:tc>
        <w:tc>
          <w:tcPr>
            <w:tcW w:w="4350" w:type="dxa"/>
            <w:shd w:val="clear" w:color="auto" w:fill="FFFFFF"/>
            <w:vAlign w:val="center"/>
          </w:tcPr>
          <w:p w14:paraId="0BD4931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0.8</w:t>
            </w:r>
          </w:p>
        </w:tc>
      </w:tr>
      <w:tr w14:paraId="26114813">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9127E2D">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1000-5000（含）</w:t>
            </w:r>
          </w:p>
        </w:tc>
        <w:tc>
          <w:tcPr>
            <w:tcW w:w="4350" w:type="dxa"/>
            <w:shd w:val="clear" w:color="auto" w:fill="FFFFFF"/>
            <w:vAlign w:val="center"/>
          </w:tcPr>
          <w:p w14:paraId="13B16CCA">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0.6</w:t>
            </w:r>
          </w:p>
        </w:tc>
      </w:tr>
      <w:tr w14:paraId="05D8DB6A">
        <w:tblPrEx>
          <w:tblBorders>
            <w:top w:val="double" w:color="000000" w:sz="2" w:space="0"/>
            <w:left w:val="double" w:color="000000" w:sz="2" w:space="0"/>
            <w:bottom w:val="double" w:color="000000" w:sz="2" w:space="0"/>
            <w:right w:val="double" w:color="000000" w:sz="2" w:space="0"/>
            <w:insideH w:val="none" w:color="auto" w:sz="0" w:space="0"/>
            <w:insideV w:val="none" w:color="auto" w:sz="0" w:space="0"/>
          </w:tblBorders>
          <w:shd w:val="clear" w:color="auto" w:fill="FFFFFF"/>
          <w:tblCellMar>
            <w:top w:w="0" w:type="dxa"/>
            <w:left w:w="0" w:type="dxa"/>
            <w:bottom w:w="0" w:type="dxa"/>
            <w:right w:w="0" w:type="dxa"/>
          </w:tblCellMar>
        </w:tblPrEx>
        <w:tc>
          <w:tcPr>
            <w:tcW w:w="3705" w:type="dxa"/>
            <w:shd w:val="clear" w:color="auto" w:fill="FFFFFF"/>
            <w:vAlign w:val="center"/>
          </w:tcPr>
          <w:p w14:paraId="0249A998">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5000以上</w:t>
            </w:r>
          </w:p>
        </w:tc>
        <w:tc>
          <w:tcPr>
            <w:tcW w:w="4350" w:type="dxa"/>
            <w:shd w:val="clear" w:color="auto" w:fill="FFFFFF"/>
            <w:vAlign w:val="center"/>
          </w:tcPr>
          <w:p w14:paraId="40A99EBC">
            <w:pPr>
              <w:pStyle w:val="11"/>
              <w:widowControl/>
              <w:spacing w:beforeAutospacing="0" w:afterAutospacing="0" w:line="480" w:lineRule="atLeast"/>
              <w:ind w:firstLine="420"/>
              <w:rPr>
                <w:rFonts w:hint="eastAsia" w:ascii="新宋体" w:hAnsi="新宋体" w:eastAsia="新宋体" w:cs="新宋体"/>
                <w:b w:val="0"/>
                <w:bCs w:val="0"/>
                <w:color w:val="000000" w:themeColor="text1"/>
                <w:sz w:val="28"/>
                <w:szCs w:val="28"/>
                <w14:textFill>
                  <w14:solidFill>
                    <w14:schemeClr w14:val="tx1"/>
                  </w14:solidFill>
                </w14:textFill>
              </w:rPr>
            </w:pPr>
            <w:r>
              <w:rPr>
                <w:rFonts w:hint="eastAsia" w:ascii="新宋体" w:hAnsi="新宋体" w:eastAsia="新宋体" w:cs="新宋体"/>
                <w:b w:val="0"/>
                <w:bCs w:val="0"/>
                <w:color w:val="000000" w:themeColor="text1"/>
                <w:sz w:val="28"/>
                <w:szCs w:val="28"/>
                <w14:textFill>
                  <w14:solidFill>
                    <w14:schemeClr w14:val="tx1"/>
                  </w14:solidFill>
                </w14:textFill>
              </w:rPr>
              <w:t>0.4</w:t>
            </w:r>
          </w:p>
        </w:tc>
      </w:tr>
    </w:tbl>
    <w:p w14:paraId="243BF739">
      <w:pPr>
        <w:pStyle w:val="2"/>
        <w:rPr>
          <w:rFonts w:hint="eastAsia"/>
        </w:rPr>
      </w:pPr>
    </w:p>
    <w:p w14:paraId="13EF4E13">
      <w:pPr>
        <w:rPr>
          <w:rFonts w:hint="eastAsia"/>
        </w:rPr>
      </w:pPr>
    </w:p>
    <w:tbl>
      <w:tblPr>
        <w:tblStyle w:val="12"/>
        <w:tblW w:w="0" w:type="auto"/>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613"/>
        <w:gridCol w:w="5967"/>
      </w:tblGrid>
      <w:tr w14:paraId="39943AB3">
        <w:tblPrEx>
          <w:tblCellMar>
            <w:top w:w="0" w:type="dxa"/>
            <w:left w:w="108" w:type="dxa"/>
            <w:bottom w:w="0" w:type="dxa"/>
            <w:right w:w="108" w:type="dxa"/>
          </w:tblCellMar>
        </w:tblPrEx>
        <w:trPr>
          <w:trHeight w:val="443" w:hRule="atLeast"/>
          <w:jc w:val="center"/>
        </w:trPr>
        <w:tc>
          <w:tcPr>
            <w:tcW w:w="7580" w:type="dxa"/>
            <w:gridSpan w:val="2"/>
            <w:noWrap w:val="0"/>
            <w:vAlign w:val="center"/>
          </w:tcPr>
          <w:p w14:paraId="6F71F18F">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交易服务费收款账户</w:t>
            </w:r>
          </w:p>
        </w:tc>
      </w:tr>
      <w:tr w14:paraId="6F52587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43" w:hRule="atLeast"/>
          <w:jc w:val="center"/>
        </w:trPr>
        <w:tc>
          <w:tcPr>
            <w:tcW w:w="1613" w:type="dxa"/>
            <w:noWrap w:val="0"/>
            <w:vAlign w:val="center"/>
          </w:tcPr>
          <w:p w14:paraId="180C0404">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户名</w:t>
            </w:r>
          </w:p>
        </w:tc>
        <w:tc>
          <w:tcPr>
            <w:tcW w:w="5967" w:type="dxa"/>
            <w:noWrap w:val="0"/>
            <w:vAlign w:val="center"/>
          </w:tcPr>
          <w:p w14:paraId="79474ABC">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屯昌县农村产权交易中心有限公司</w:t>
            </w:r>
          </w:p>
        </w:tc>
      </w:tr>
      <w:tr w14:paraId="51244BC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32" w:hRule="atLeast"/>
          <w:jc w:val="center"/>
        </w:trPr>
        <w:tc>
          <w:tcPr>
            <w:tcW w:w="1613" w:type="dxa"/>
            <w:noWrap w:val="0"/>
            <w:vAlign w:val="center"/>
          </w:tcPr>
          <w:p w14:paraId="64F4B34D">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开户行</w:t>
            </w:r>
          </w:p>
        </w:tc>
        <w:tc>
          <w:tcPr>
            <w:tcW w:w="5967" w:type="dxa"/>
            <w:noWrap w:val="0"/>
            <w:vAlign w:val="center"/>
          </w:tcPr>
          <w:p w14:paraId="401CB58E">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sz w:val="28"/>
                <w:szCs w:val="28"/>
                <w:highlight w:val="none"/>
                <w:u w:val="none"/>
                <w:lang w:val="en-US" w:eastAsia="zh-CN"/>
              </w:rPr>
              <w:t>海南农商行屯昌支行</w:t>
            </w:r>
          </w:p>
        </w:tc>
      </w:tr>
      <w:tr w14:paraId="5E49B9C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62" w:hRule="atLeast"/>
          <w:jc w:val="center"/>
        </w:trPr>
        <w:tc>
          <w:tcPr>
            <w:tcW w:w="1613" w:type="dxa"/>
            <w:noWrap w:val="0"/>
            <w:vAlign w:val="center"/>
          </w:tcPr>
          <w:p w14:paraId="1F446DC0">
            <w:pPr>
              <w:keepNext w:val="0"/>
              <w:keepLines w:val="0"/>
              <w:pageBreakBefore w:val="0"/>
              <w:kinsoku/>
              <w:wordWrap/>
              <w:overflowPunct/>
              <w:topLinePunct w:val="0"/>
              <w:autoSpaceDE/>
              <w:autoSpaceDN/>
              <w:bidi w:val="0"/>
              <w:adjustRightInd/>
              <w:snapToGrid/>
              <w:spacing w:line="360" w:lineRule="exact"/>
              <w:jc w:val="center"/>
              <w:textAlignment w:val="auto"/>
              <w:rPr>
                <w:rFonts w:hint="eastAsia" w:ascii="新宋体" w:hAnsi="新宋体" w:eastAsia="新宋体" w:cs="新宋体"/>
                <w:b/>
                <w:bCs/>
                <w:i w:val="0"/>
                <w:iCs w:val="0"/>
                <w:sz w:val="28"/>
                <w:szCs w:val="28"/>
                <w:highlight w:val="none"/>
                <w:u w:val="none"/>
                <w:lang w:val="en-US" w:eastAsia="zh-CN"/>
              </w:rPr>
            </w:pPr>
            <w:r>
              <w:rPr>
                <w:rFonts w:hint="eastAsia" w:ascii="新宋体" w:hAnsi="新宋体" w:eastAsia="新宋体" w:cs="新宋体"/>
                <w:b/>
                <w:bCs/>
                <w:i w:val="0"/>
                <w:iCs w:val="0"/>
                <w:sz w:val="28"/>
                <w:szCs w:val="28"/>
                <w:highlight w:val="none"/>
                <w:u w:val="none"/>
                <w:lang w:val="en-US" w:eastAsia="zh-CN"/>
              </w:rPr>
              <w:t>账号</w:t>
            </w:r>
          </w:p>
        </w:tc>
        <w:tc>
          <w:tcPr>
            <w:tcW w:w="5967" w:type="dxa"/>
            <w:noWrap w:val="0"/>
            <w:vAlign w:val="center"/>
          </w:tcPr>
          <w:p w14:paraId="7DFE5017">
            <w:pPr>
              <w:pStyle w:val="11"/>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20" w:lineRule="atLeast"/>
              <w:ind w:left="0" w:right="0"/>
              <w:jc w:val="center"/>
              <w:rPr>
                <w:rFonts w:hint="eastAsia" w:ascii="新宋体" w:hAnsi="新宋体" w:eastAsia="新宋体" w:cs="新宋体"/>
                <w:b w:val="0"/>
                <w:bCs w:val="0"/>
                <w:i w:val="0"/>
                <w:iCs w:val="0"/>
                <w:sz w:val="28"/>
                <w:szCs w:val="28"/>
                <w:highlight w:val="none"/>
                <w:u w:val="none"/>
                <w:lang w:val="en-US" w:eastAsia="zh-CN"/>
              </w:rPr>
            </w:pPr>
            <w:r>
              <w:rPr>
                <w:rFonts w:hint="eastAsia" w:ascii="新宋体" w:hAnsi="新宋体" w:eastAsia="新宋体" w:cs="新宋体"/>
                <w:b w:val="0"/>
                <w:bCs w:val="0"/>
                <w:i w:val="0"/>
                <w:iCs w:val="0"/>
                <w:kern w:val="2"/>
                <w:sz w:val="28"/>
                <w:szCs w:val="28"/>
                <w:highlight w:val="none"/>
                <w:u w:val="none"/>
                <w:lang w:val="en-US" w:eastAsia="zh-CN" w:bidi="ar-SA"/>
              </w:rPr>
              <w:t>1021644500000152</w:t>
            </w:r>
          </w:p>
        </w:tc>
      </w:tr>
    </w:tbl>
    <w:p w14:paraId="0E5B88F2">
      <w:pPr>
        <w:spacing w:line="520" w:lineRule="exact"/>
        <w:ind w:firstLine="560" w:firstLineChars="200"/>
        <w:rPr>
          <w:rFonts w:hint="eastAsia" w:ascii="新宋体" w:hAnsi="新宋体" w:eastAsia="新宋体" w:cs="Times New Roman"/>
          <w:color w:val="auto"/>
          <w:sz w:val="28"/>
          <w:szCs w:val="28"/>
        </w:rPr>
      </w:pPr>
    </w:p>
    <w:p w14:paraId="65ED6E0D">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color w:val="auto"/>
          <w:sz w:val="28"/>
          <w:szCs w:val="28"/>
        </w:rPr>
        <w:t>24、未成交的竞买方交易保证金，平台将按《</w:t>
      </w:r>
      <w:r>
        <w:rPr>
          <w:rFonts w:hint="eastAsia" w:ascii="新宋体" w:hAnsi="新宋体" w:eastAsia="新宋体" w:cs="Times New Roman"/>
          <w:color w:val="auto"/>
          <w:sz w:val="28"/>
          <w:szCs w:val="28"/>
          <w:lang w:val="en-US" w:eastAsia="zh-CN"/>
        </w:rPr>
        <w:t>屯昌县农村产权交易中心</w:t>
      </w:r>
      <w:r>
        <w:rPr>
          <w:rFonts w:hint="eastAsia" w:ascii="新宋体" w:hAnsi="新宋体" w:eastAsia="新宋体" w:cs="Times New Roman"/>
          <w:color w:val="auto"/>
          <w:sz w:val="28"/>
          <w:szCs w:val="28"/>
        </w:rPr>
        <w:t>有限公司交易保证金操作规则（试行）》有关规定办理。</w:t>
      </w:r>
      <w:r>
        <w:rPr>
          <w:rFonts w:hint="eastAsia" w:ascii="新宋体" w:hAnsi="新宋体" w:eastAsia="新宋体" w:cs="Times New Roman"/>
          <w:b w:val="0"/>
          <w:bCs w:val="0"/>
          <w:color w:val="auto"/>
          <w:sz w:val="28"/>
          <w:szCs w:val="28"/>
        </w:rPr>
        <w:t>竞买方以银行转账方式缴付交易保证金的，其交易保证金退回原划款账户；竞买方以现金方式缴付交易保证金的，其交易保证金退还其提供的银行账户。</w:t>
      </w:r>
    </w:p>
    <w:p w14:paraId="62FD472A">
      <w:pPr>
        <w:spacing w:line="520" w:lineRule="exact"/>
        <w:ind w:firstLine="560" w:firstLineChars="200"/>
        <w:rPr>
          <w:rFonts w:ascii="新宋体" w:hAnsi="新宋体" w:eastAsia="新宋体" w:cs="Times New Roman"/>
          <w:b w:val="0"/>
          <w:bCs w:val="0"/>
          <w:color w:val="auto"/>
          <w:sz w:val="28"/>
          <w:szCs w:val="28"/>
        </w:rPr>
      </w:pPr>
      <w:r>
        <w:rPr>
          <w:rFonts w:hint="eastAsia" w:ascii="新宋体" w:hAnsi="新宋体" w:eastAsia="新宋体" w:cs="Times New Roman"/>
          <w:b w:val="0"/>
          <w:bCs w:val="0"/>
          <w:color w:val="auto"/>
          <w:sz w:val="28"/>
          <w:szCs w:val="28"/>
        </w:rPr>
        <w:t>25、竞买方未按信息公告内容或交易流程要求履行交易程序的，平台有权扣除交易保证金作为相关方的补偿。</w:t>
      </w:r>
    </w:p>
    <w:p w14:paraId="6A4A3FA1">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26、交易双方自行办理标的交易价款结算，并进行标的交割。有需要办理变更、过户登记手续的，交易双方凭交易合同等材料到相关部门办理。</w:t>
      </w:r>
    </w:p>
    <w:p w14:paraId="709839DA">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27、其他未尽事宜，按照服务协议、交易细则、交易文件及有关规定执行。</w:t>
      </w:r>
    </w:p>
    <w:p w14:paraId="05C7DCE7">
      <w:pPr>
        <w:spacing w:line="520" w:lineRule="exact"/>
        <w:ind w:firstLine="560" w:firstLineChars="200"/>
        <w:rPr>
          <w:rFonts w:ascii="新宋体" w:hAnsi="新宋体" w:eastAsia="新宋体" w:cs="Times New Roman"/>
          <w:color w:val="auto"/>
          <w:sz w:val="28"/>
          <w:szCs w:val="28"/>
        </w:rPr>
      </w:pPr>
      <w:r>
        <w:rPr>
          <w:rFonts w:hint="eastAsia" w:ascii="新宋体" w:hAnsi="新宋体" w:eastAsia="新宋体" w:cs="Times New Roman"/>
          <w:color w:val="auto"/>
          <w:sz w:val="28"/>
          <w:szCs w:val="28"/>
        </w:rPr>
        <w:t>28、本《网络竞价须知》有关条款的解释权归平台所有，平台有权根据相关法律、法规进行变更和修订。</w:t>
      </w:r>
    </w:p>
    <w:p w14:paraId="707C359B">
      <w:pPr>
        <w:pStyle w:val="2"/>
        <w:ind w:left="2250" w:hanging="1200"/>
        <w:rPr>
          <w:color w:val="auto"/>
        </w:rPr>
      </w:pPr>
    </w:p>
    <w:p w14:paraId="4AC5A91F">
      <w:pPr>
        <w:rPr>
          <w:rFonts w:hint="eastAsia" w:eastAsiaTheme="minorEastAsia"/>
          <w:color w:val="auto"/>
          <w:lang w:eastAsia="zh-CN"/>
        </w:rPr>
      </w:pPr>
    </w:p>
    <w:p w14:paraId="7C6968E4">
      <w:pPr>
        <w:pStyle w:val="4"/>
        <w:rPr>
          <w:rFonts w:hint="eastAsia"/>
          <w:lang w:eastAsia="zh-CN"/>
        </w:rPr>
      </w:pPr>
    </w:p>
    <w:p w14:paraId="7E626F67">
      <w:pPr>
        <w:pStyle w:val="6"/>
        <w:rPr>
          <w:color w:val="auto"/>
        </w:rPr>
      </w:pPr>
    </w:p>
    <w:p w14:paraId="5B71BE9B">
      <w:pPr>
        <w:spacing w:line="520" w:lineRule="exact"/>
        <w:rPr>
          <w:color w:val="auto"/>
        </w:rPr>
      </w:pPr>
      <w:r>
        <w:rPr>
          <w:rFonts w:hint="eastAsia" w:ascii="Times New Roman" w:hAnsi="Times New Roman"/>
          <w:color w:val="auto"/>
          <w:sz w:val="32"/>
          <w:szCs w:val="32"/>
        </w:rPr>
        <w:t>已详细阅读此竞价须知，对此竞价须知无异议。</w:t>
      </w:r>
    </w:p>
    <w:p w14:paraId="76D8FB59">
      <w:pPr>
        <w:spacing w:line="520" w:lineRule="exact"/>
        <w:ind w:firstLine="3840" w:firstLineChars="1200"/>
        <w:rPr>
          <w:rFonts w:hint="eastAsia" w:ascii="Times New Roman" w:hAnsi="Times New Roman"/>
          <w:color w:val="auto"/>
          <w:sz w:val="32"/>
          <w:szCs w:val="32"/>
        </w:rPr>
      </w:pPr>
    </w:p>
    <w:p w14:paraId="54F72347">
      <w:pPr>
        <w:spacing w:line="520" w:lineRule="exact"/>
        <w:ind w:firstLine="4800" w:firstLineChars="1500"/>
        <w:rPr>
          <w:rFonts w:hint="eastAsia"/>
          <w:lang w:val="en-US" w:eastAsia="zh-CN"/>
        </w:rPr>
      </w:pPr>
      <w:r>
        <w:rPr>
          <w:rFonts w:hint="eastAsia" w:ascii="Times New Roman" w:hAnsi="Times New Roman"/>
          <w:color w:val="auto"/>
          <w:sz w:val="32"/>
          <w:szCs w:val="32"/>
          <w:lang w:val="en-US" w:eastAsia="zh-CN"/>
        </w:rPr>
        <w:t>竞买方</w:t>
      </w:r>
      <w:r>
        <w:rPr>
          <w:rFonts w:hint="eastAsia" w:ascii="Times New Roman" w:hAnsi="Times New Roman"/>
          <w:color w:val="auto"/>
          <w:sz w:val="32"/>
          <w:szCs w:val="32"/>
        </w:rPr>
        <w:t>（</w:t>
      </w:r>
      <w:r>
        <w:rPr>
          <w:rFonts w:hint="eastAsia" w:ascii="Times New Roman" w:hAnsi="Times New Roman"/>
          <w:color w:val="auto"/>
          <w:sz w:val="32"/>
          <w:szCs w:val="32"/>
          <w:lang w:val="en-US" w:eastAsia="zh-CN"/>
        </w:rPr>
        <w:t>签</w:t>
      </w:r>
      <w:r>
        <w:rPr>
          <w:rFonts w:hint="eastAsia" w:ascii="Times New Roman" w:hAnsi="Times New Roman"/>
          <w:color w:val="auto"/>
          <w:sz w:val="32"/>
          <w:szCs w:val="32"/>
        </w:rPr>
        <w:t>章）：</w:t>
      </w:r>
    </w:p>
    <w:p w14:paraId="23E78C29">
      <w:pPr>
        <w:bidi w:val="0"/>
        <w:rPr>
          <w:rFonts w:hint="eastAsia"/>
        </w:rPr>
      </w:pPr>
      <w:r>
        <w:rPr>
          <w:rFonts w:hint="eastAsia"/>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rPr>
        <w:t xml:space="preserve">  </w:t>
      </w:r>
      <w:r>
        <w:rPr>
          <w:rFonts w:hint="eastAsia"/>
          <w:sz w:val="32"/>
          <w:szCs w:val="32"/>
          <w:lang w:val="en-US" w:eastAsia="zh-CN"/>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rPr>
        <w:t>年</w:t>
      </w:r>
      <w:r>
        <w:rPr>
          <w:rFonts w:hint="eastAsia"/>
          <w:sz w:val="32"/>
          <w:szCs w:val="32"/>
          <w:u w:val="single"/>
        </w:rPr>
        <w:t xml:space="preserve">   </w:t>
      </w:r>
      <w:r>
        <w:rPr>
          <w:rFonts w:hint="eastAsia"/>
          <w:sz w:val="32"/>
          <w:szCs w:val="32"/>
        </w:rPr>
        <w:t>月</w:t>
      </w:r>
      <w:r>
        <w:rPr>
          <w:rFonts w:hint="eastAsia"/>
          <w:sz w:val="32"/>
          <w:szCs w:val="32"/>
          <w:u w:val="single"/>
        </w:rPr>
        <w:t xml:space="preserve"> </w:t>
      </w:r>
      <w:r>
        <w:rPr>
          <w:rFonts w:hint="eastAsia"/>
          <w:sz w:val="32"/>
          <w:szCs w:val="32"/>
          <w:u w:val="single"/>
          <w:lang w:val="en-US" w:eastAsia="zh-CN"/>
        </w:rPr>
        <w:t xml:space="preserve"> </w:t>
      </w:r>
      <w:r>
        <w:rPr>
          <w:rFonts w:hint="eastAsia"/>
          <w:sz w:val="32"/>
          <w:szCs w:val="32"/>
          <w:u w:val="single"/>
        </w:rPr>
        <w:t xml:space="preserve"> </w:t>
      </w:r>
      <w:r>
        <w:rPr>
          <w:rFonts w:hint="eastAsia"/>
          <w:sz w:val="32"/>
          <w:szCs w:val="32"/>
        </w:rPr>
        <w:t>日</w:t>
      </w:r>
    </w:p>
    <w:p w14:paraId="77819D80">
      <w:pPr>
        <w:pStyle w:val="3"/>
        <w:spacing w:line="240" w:lineRule="auto"/>
        <w:rPr>
          <w:rFonts w:ascii="黑体" w:hAnsi="黑体"/>
          <w:color w:val="auto"/>
        </w:rPr>
      </w:pPr>
    </w:p>
    <w:p w14:paraId="4E1CB6E9">
      <w:pPr>
        <w:pStyle w:val="3"/>
        <w:spacing w:line="240" w:lineRule="auto"/>
        <w:jc w:val="both"/>
        <w:rPr>
          <w:rFonts w:ascii="黑体" w:hAnsi="黑体"/>
          <w:color w:val="auto"/>
        </w:rPr>
      </w:pPr>
    </w:p>
    <w:p w14:paraId="35399FA5">
      <w:pPr>
        <w:rPr>
          <w:rFonts w:ascii="黑体" w:hAnsi="黑体"/>
          <w:color w:val="auto"/>
        </w:rPr>
      </w:pPr>
    </w:p>
    <w:p w14:paraId="2B8A6AAC">
      <w:pPr>
        <w:pStyle w:val="3"/>
        <w:spacing w:line="240" w:lineRule="auto"/>
        <w:jc w:val="both"/>
        <w:rPr>
          <w:rFonts w:ascii="黑体" w:hAnsi="黑体"/>
          <w:color w:val="auto"/>
        </w:rPr>
        <w:sectPr>
          <w:headerReference r:id="rId3" w:type="default"/>
          <w:footerReference r:id="rId4" w:type="default"/>
          <w:pgSz w:w="11906" w:h="16838"/>
          <w:pgMar w:top="1440" w:right="1800" w:bottom="1440" w:left="1800" w:header="851" w:footer="992" w:gutter="0"/>
          <w:cols w:space="425" w:num="1"/>
          <w:docGrid w:type="lines" w:linePitch="312" w:charSpace="0"/>
        </w:sectPr>
      </w:pPr>
    </w:p>
    <w:p w14:paraId="4398E712">
      <w:pPr>
        <w:pStyle w:val="3"/>
        <w:spacing w:line="240" w:lineRule="auto"/>
        <w:rPr>
          <w:rStyle w:val="15"/>
          <w:rFonts w:ascii="Times New Roman" w:hAnsi="Times New Roman"/>
          <w:color w:val="auto"/>
          <w:szCs w:val="22"/>
        </w:rPr>
      </w:pPr>
      <w:r>
        <w:rPr>
          <w:rFonts w:hint="eastAsia" w:ascii="黑体" w:hAnsi="黑体"/>
          <w:color w:val="auto"/>
        </w:rPr>
        <w:t>网络竞价项目承诺函</w:t>
      </w:r>
      <w:bookmarkEnd w:id="7"/>
      <w:bookmarkEnd w:id="8"/>
      <w:bookmarkEnd w:id="9"/>
      <w:bookmarkEnd w:id="10"/>
      <w:bookmarkEnd w:id="11"/>
      <w:bookmarkEnd w:id="12"/>
      <w:bookmarkEnd w:id="13"/>
      <w:bookmarkEnd w:id="14"/>
      <w:bookmarkEnd w:id="15"/>
    </w:p>
    <w:p w14:paraId="05926ECD">
      <w:pPr>
        <w:keepNext w:val="0"/>
        <w:keepLines w:val="0"/>
        <w:pageBreakBefore w:val="0"/>
        <w:widowControl w:val="0"/>
        <w:kinsoku/>
        <w:wordWrap/>
        <w:overflowPunct/>
        <w:topLinePunct w:val="0"/>
        <w:autoSpaceDE/>
        <w:autoSpaceDN/>
        <w:bidi w:val="0"/>
        <w:adjustRightInd/>
        <w:snapToGrid w:val="0"/>
        <w:spacing w:line="450" w:lineRule="exact"/>
        <w:textAlignment w:val="auto"/>
        <w:rPr>
          <w:rFonts w:ascii="Times New Roman" w:hAnsi="Times New Roman"/>
          <w:color w:val="auto"/>
          <w:sz w:val="28"/>
          <w:szCs w:val="28"/>
        </w:rPr>
      </w:pPr>
      <w:r>
        <w:rPr>
          <w:rFonts w:hint="eastAsia" w:ascii="Times New Roman" w:hAnsi="Times New Roman"/>
          <w:color w:val="auto"/>
          <w:sz w:val="28"/>
          <w:szCs w:val="28"/>
          <w:lang w:val="en-US" w:eastAsia="zh-CN"/>
        </w:rPr>
        <w:t>屯昌县农村产权交易中心</w:t>
      </w:r>
      <w:r>
        <w:rPr>
          <w:rFonts w:hint="eastAsia" w:ascii="Times New Roman" w:hAnsi="Times New Roman"/>
          <w:color w:val="auto"/>
          <w:sz w:val="28"/>
          <w:szCs w:val="28"/>
        </w:rPr>
        <w:t>有限公司：</w:t>
      </w:r>
    </w:p>
    <w:p w14:paraId="7D2BDA9F">
      <w:pPr>
        <w:keepNext w:val="0"/>
        <w:keepLines w:val="0"/>
        <w:pageBreakBefore w:val="0"/>
        <w:widowControl w:val="0"/>
        <w:kinsoku/>
        <w:wordWrap/>
        <w:overflowPunct/>
        <w:topLinePunct w:val="0"/>
        <w:autoSpaceDE/>
        <w:autoSpaceDN/>
        <w:bidi w:val="0"/>
        <w:adjustRightInd/>
        <w:snapToGrid w:val="0"/>
        <w:spacing w:line="450" w:lineRule="exact"/>
        <w:ind w:firstLine="570"/>
        <w:textAlignment w:val="auto"/>
        <w:rPr>
          <w:rFonts w:ascii="Times New Roman" w:hAnsi="Times New Roman"/>
          <w:color w:val="auto"/>
          <w:sz w:val="28"/>
          <w:szCs w:val="28"/>
        </w:rPr>
      </w:pPr>
      <w:r>
        <w:rPr>
          <w:rFonts w:hint="eastAsia" w:ascii="Times New Roman" w:hAnsi="Times New Roman"/>
          <w:color w:val="auto"/>
          <w:sz w:val="28"/>
          <w:szCs w:val="28"/>
        </w:rPr>
        <w:t>本竞买方就参与</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屯昌县南坤镇藤寨墟农贸市场旁36㎡1号铁皮棚出租</w:t>
      </w:r>
      <w:r>
        <w:rPr>
          <w:rFonts w:ascii="Times New Roman" w:hAnsi="Times New Roman"/>
          <w:color w:val="auto"/>
          <w:sz w:val="28"/>
          <w:szCs w:val="28"/>
        </w:rPr>
        <w:t>”</w:t>
      </w:r>
      <w:r>
        <w:rPr>
          <w:rFonts w:hint="eastAsia" w:ascii="Times New Roman" w:hAnsi="Times New Roman"/>
          <w:color w:val="auto"/>
          <w:sz w:val="28"/>
          <w:szCs w:val="28"/>
        </w:rPr>
        <w:t>项目网络竞价活动作出如下承诺：</w:t>
      </w:r>
    </w:p>
    <w:p w14:paraId="2449E1C3">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一、本竞买方同意按照信息公告的要求，参加</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 xml:space="preserve">屯昌县南坤镇藤寨墟农贸市场旁36㎡1号铁皮棚出租 </w:t>
      </w:r>
      <w:r>
        <w:rPr>
          <w:rFonts w:ascii="Times New Roman" w:hAnsi="Times New Roman"/>
          <w:color w:val="auto"/>
          <w:sz w:val="28"/>
          <w:szCs w:val="28"/>
        </w:rPr>
        <w:t>”</w:t>
      </w:r>
      <w:r>
        <w:rPr>
          <w:rFonts w:hint="eastAsia" w:ascii="Times New Roman" w:hAnsi="Times New Roman"/>
          <w:color w:val="auto"/>
          <w:sz w:val="28"/>
          <w:szCs w:val="28"/>
        </w:rPr>
        <w:t>项目网络竞价活动，并参与报价。</w:t>
      </w:r>
    </w:p>
    <w:p w14:paraId="47EBA954">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二、本竞买方对</w:t>
      </w:r>
      <w:r>
        <w:rPr>
          <w:rFonts w:ascii="Times New Roman" w:hAnsi="Times New Roman"/>
          <w:color w:val="auto"/>
          <w:sz w:val="28"/>
          <w:szCs w:val="28"/>
        </w:rPr>
        <w:t>“</w:t>
      </w:r>
      <w:r>
        <w:rPr>
          <w:rFonts w:hint="eastAsia" w:ascii="Times New Roman" w:hAnsi="Times New Roman"/>
          <w:color w:val="auto"/>
          <w:sz w:val="28"/>
          <w:szCs w:val="28"/>
          <w:u w:val="single"/>
          <w:lang w:val="en-US" w:eastAsia="zh-CN"/>
        </w:rPr>
        <w:t>屯昌县南坤镇藤寨墟农贸市场旁36㎡1号铁皮棚出租</w:t>
      </w:r>
      <w:r>
        <w:rPr>
          <w:rFonts w:ascii="Times New Roman" w:hAnsi="Times New Roman"/>
          <w:color w:val="auto"/>
          <w:sz w:val="28"/>
          <w:szCs w:val="28"/>
        </w:rPr>
        <w:t>”</w:t>
      </w:r>
      <w:r>
        <w:rPr>
          <w:rFonts w:hint="eastAsia" w:ascii="Times New Roman" w:hAnsi="Times New Roman"/>
          <w:color w:val="auto"/>
          <w:sz w:val="28"/>
          <w:szCs w:val="28"/>
        </w:rPr>
        <w:t>项目和</w:t>
      </w:r>
      <w:r>
        <w:rPr>
          <w:rFonts w:hint="eastAsia" w:ascii="新宋体" w:hAnsi="新宋体" w:eastAsia="新宋体"/>
          <w:color w:val="auto"/>
          <w:sz w:val="28"/>
          <w:szCs w:val="28"/>
        </w:rPr>
        <w:t>《</w:t>
      </w:r>
      <w:r>
        <w:rPr>
          <w:rFonts w:hint="eastAsia" w:ascii="新宋体" w:hAnsi="新宋体" w:eastAsia="新宋体"/>
          <w:color w:val="auto"/>
          <w:sz w:val="28"/>
          <w:szCs w:val="28"/>
          <w:lang w:val="en-US" w:eastAsia="zh-CN"/>
        </w:rPr>
        <w:t>屯昌</w:t>
      </w:r>
      <w:r>
        <w:rPr>
          <w:rFonts w:hint="eastAsia" w:ascii="新宋体" w:hAnsi="新宋体" w:eastAsia="新宋体"/>
          <w:color w:val="auto"/>
          <w:sz w:val="28"/>
          <w:szCs w:val="28"/>
        </w:rPr>
        <w:t>农村产权交易</w:t>
      </w:r>
      <w:r>
        <w:rPr>
          <w:rFonts w:hint="eastAsia" w:ascii="新宋体" w:hAnsi="新宋体" w:eastAsia="新宋体"/>
          <w:color w:val="auto"/>
          <w:sz w:val="28"/>
          <w:szCs w:val="28"/>
          <w:lang w:val="en-US" w:eastAsia="zh-CN"/>
        </w:rPr>
        <w:t>平台</w:t>
      </w:r>
      <w:r>
        <w:rPr>
          <w:rFonts w:hint="eastAsia" w:ascii="新宋体" w:hAnsi="新宋体" w:eastAsia="新宋体"/>
          <w:color w:val="auto"/>
          <w:sz w:val="28"/>
          <w:szCs w:val="28"/>
        </w:rPr>
        <w:t>网络竞价实施办法（试行）》《</w:t>
      </w:r>
      <w:r>
        <w:rPr>
          <w:rFonts w:hint="eastAsia" w:ascii="Times New Roman" w:hAnsi="Times New Roman"/>
          <w:color w:val="auto"/>
          <w:sz w:val="28"/>
          <w:szCs w:val="28"/>
        </w:rPr>
        <w:t>网络竞价须知》已充分了解，并自愿遵守文件中的相关规定。</w:t>
      </w:r>
    </w:p>
    <w:p w14:paraId="02E7A4EE">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三、本竞买方已进行并完成针对本项目的尽职调查工作（包括但不限于查阅由出租（转让）方提供的本项目的档案文件），对项目标的情况已充分知晓。本竞买方自行承担包括但不限于因所获取的表达信息不全面、错误或误解等而产生的相应后果，竞拍标的因权属、真伪、质量或使用性能等产生的问题与</w:t>
      </w:r>
      <w:r>
        <w:rPr>
          <w:rFonts w:hint="eastAsia" w:ascii="新宋体" w:hAnsi="新宋体" w:eastAsia="新宋体"/>
          <w:color w:val="auto"/>
          <w:sz w:val="28"/>
          <w:szCs w:val="28"/>
          <w:lang w:val="en-US" w:eastAsia="zh-CN"/>
        </w:rPr>
        <w:t>屯昌县农村产权交易服务平台</w:t>
      </w:r>
      <w:r>
        <w:rPr>
          <w:rFonts w:hint="eastAsia" w:ascii="新宋体" w:hAnsi="新宋体" w:eastAsia="新宋体" w:cs="Times New Roman"/>
          <w:color w:val="auto"/>
          <w:sz w:val="28"/>
          <w:szCs w:val="28"/>
        </w:rPr>
        <w:t>（https://tunchang.nongjiao.com/，以下简称“平台”）</w:t>
      </w:r>
      <w:r>
        <w:rPr>
          <w:rFonts w:hint="eastAsia" w:ascii="Times New Roman" w:hAnsi="Times New Roman"/>
          <w:color w:val="auto"/>
          <w:sz w:val="28"/>
          <w:szCs w:val="28"/>
        </w:rPr>
        <w:t>无关。</w:t>
      </w:r>
    </w:p>
    <w:p w14:paraId="0DA8ABAD">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jc w:val="left"/>
        <w:textAlignment w:val="auto"/>
        <w:rPr>
          <w:rFonts w:ascii="Times New Roman" w:hAnsi="Times New Roman"/>
          <w:color w:val="auto"/>
          <w:sz w:val="28"/>
          <w:szCs w:val="28"/>
        </w:rPr>
      </w:pPr>
      <w:r>
        <w:rPr>
          <w:rFonts w:hint="eastAsia" w:ascii="Times New Roman" w:hAnsi="Times New Roman"/>
          <w:color w:val="auto"/>
          <w:sz w:val="28"/>
          <w:szCs w:val="28"/>
        </w:rPr>
        <w:t>四、本竞买方同意出租（转让）方和平台有权根据《网络竞价须知》的规定扣除保证金。</w:t>
      </w:r>
    </w:p>
    <w:p w14:paraId="442CDC37">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五、本竞买方承诺在竞价成功后按照</w:t>
      </w:r>
      <w:r>
        <w:rPr>
          <w:rFonts w:hint="eastAsia" w:ascii="Times New Roman" w:hAnsi="Times New Roman"/>
          <w:color w:val="auto"/>
          <w:sz w:val="28"/>
          <w:szCs w:val="28"/>
          <w:lang w:val="en-US" w:eastAsia="zh-CN"/>
        </w:rPr>
        <w:t>屯昌县</w:t>
      </w:r>
      <w:r>
        <w:rPr>
          <w:rFonts w:hint="eastAsia" w:ascii="Times New Roman" w:hAnsi="Times New Roman"/>
          <w:color w:val="auto"/>
          <w:sz w:val="28"/>
          <w:szCs w:val="28"/>
        </w:rPr>
        <w:t>农村产权交易平台书面通知要求与出租（转让）方签署交易合同，并按《</w:t>
      </w:r>
      <w:r>
        <w:rPr>
          <w:rFonts w:hint="eastAsia" w:ascii="Times New Roman" w:hAnsi="Times New Roman"/>
          <w:color w:val="auto"/>
          <w:sz w:val="28"/>
          <w:szCs w:val="28"/>
          <w:lang w:val="en-US" w:eastAsia="zh-CN"/>
        </w:rPr>
        <w:t>标的竞得书</w:t>
      </w:r>
      <w:r>
        <w:rPr>
          <w:rFonts w:hint="eastAsia" w:ascii="Times New Roman" w:hAnsi="Times New Roman"/>
          <w:color w:val="auto"/>
          <w:sz w:val="28"/>
          <w:szCs w:val="28"/>
        </w:rPr>
        <w:t>》的约定支付交易价款。</w:t>
      </w:r>
    </w:p>
    <w:p w14:paraId="117C8972">
      <w:pPr>
        <w:keepNext w:val="0"/>
        <w:keepLines w:val="0"/>
        <w:pageBreakBefore w:val="0"/>
        <w:widowControl w:val="0"/>
        <w:kinsoku/>
        <w:wordWrap/>
        <w:overflowPunct/>
        <w:topLinePunct w:val="0"/>
        <w:autoSpaceDE/>
        <w:autoSpaceDN/>
        <w:bidi w:val="0"/>
        <w:adjustRightInd/>
        <w:snapToGrid w:val="0"/>
        <w:spacing w:line="450" w:lineRule="exact"/>
        <w:ind w:firstLine="560" w:firstLineChars="200"/>
        <w:textAlignment w:val="auto"/>
        <w:rPr>
          <w:rFonts w:ascii="Times New Roman" w:hAnsi="Times New Roman"/>
          <w:color w:val="auto"/>
          <w:sz w:val="28"/>
          <w:szCs w:val="28"/>
        </w:rPr>
      </w:pPr>
      <w:r>
        <w:rPr>
          <w:rFonts w:hint="eastAsia" w:ascii="Times New Roman" w:hAnsi="Times New Roman"/>
          <w:color w:val="auto"/>
          <w:sz w:val="28"/>
          <w:szCs w:val="28"/>
        </w:rPr>
        <w:t>六、本竞买方承诺如遇互联网可能出现不稳定情况、网络黑客恶意攻击，以及本人操作失误等情况导致竞价无法正常报价的，所造成的损失由本竞买方承担（包括但不限于网络故障、电路故障、系统故障）。</w:t>
      </w:r>
    </w:p>
    <w:p w14:paraId="61799FFD">
      <w:pPr>
        <w:pStyle w:val="2"/>
        <w:keepNext w:val="0"/>
        <w:keepLines w:val="0"/>
        <w:pageBreakBefore w:val="0"/>
        <w:widowControl w:val="0"/>
        <w:kinsoku/>
        <w:wordWrap/>
        <w:overflowPunct/>
        <w:topLinePunct w:val="0"/>
        <w:autoSpaceDE/>
        <w:autoSpaceDN/>
        <w:bidi w:val="0"/>
        <w:adjustRightInd/>
        <w:spacing w:line="450" w:lineRule="exact"/>
        <w:ind w:left="2250" w:hanging="1200"/>
        <w:textAlignment w:val="auto"/>
        <w:rPr>
          <w:color w:val="auto"/>
        </w:rPr>
      </w:pPr>
    </w:p>
    <w:p w14:paraId="1B7AF1BF">
      <w:pPr>
        <w:keepNext w:val="0"/>
        <w:keepLines w:val="0"/>
        <w:pageBreakBefore w:val="0"/>
        <w:widowControl w:val="0"/>
        <w:kinsoku/>
        <w:wordWrap/>
        <w:overflowPunct/>
        <w:topLinePunct w:val="0"/>
        <w:autoSpaceDE/>
        <w:autoSpaceDN/>
        <w:bidi w:val="0"/>
        <w:adjustRightInd/>
        <w:snapToGrid w:val="0"/>
        <w:spacing w:line="450" w:lineRule="exact"/>
        <w:textAlignment w:val="auto"/>
        <w:rPr>
          <w:rFonts w:hint="eastAsia" w:eastAsiaTheme="minorEastAsia"/>
          <w:color w:val="auto"/>
          <w:lang w:val="en-US" w:eastAsia="zh-CN"/>
        </w:rPr>
      </w:pPr>
      <w:r>
        <w:rPr>
          <w:rFonts w:ascii="Times New Roman" w:hAnsi="Times New Roman"/>
          <w:color w:val="auto"/>
          <w:sz w:val="28"/>
          <w:szCs w:val="28"/>
        </w:rPr>
        <w:t xml:space="preserve">  </w:t>
      </w:r>
      <w:r>
        <w:rPr>
          <w:rFonts w:hint="eastAsia" w:ascii="Times New Roman" w:hAnsi="Times New Roman"/>
          <w:color w:val="auto"/>
          <w:sz w:val="28"/>
          <w:szCs w:val="28"/>
        </w:rPr>
        <w:t>　　　　　　　　　　　　　　　　　　竞买方（签章）：</w:t>
      </w:r>
    </w:p>
    <w:p w14:paraId="7C084D55">
      <w:pPr>
        <w:keepNext w:val="0"/>
        <w:keepLines w:val="0"/>
        <w:pageBreakBefore w:val="0"/>
        <w:widowControl w:val="0"/>
        <w:kinsoku/>
        <w:wordWrap/>
        <w:overflowPunct/>
        <w:topLinePunct w:val="0"/>
        <w:autoSpaceDE/>
        <w:autoSpaceDN/>
        <w:bidi w:val="0"/>
        <w:adjustRightInd/>
        <w:snapToGrid w:val="0"/>
        <w:spacing w:line="450" w:lineRule="exact"/>
        <w:jc w:val="left"/>
        <w:textAlignment w:val="auto"/>
        <w:rPr>
          <w:rFonts w:ascii="仿宋_GB2312" w:hAnsi="仿宋_GB2312" w:eastAsia="仿宋_GB2312" w:cs="仿宋_GB2312"/>
          <w:color w:val="auto"/>
          <w:sz w:val="30"/>
          <w:szCs w:val="30"/>
        </w:rPr>
        <w:sectPr>
          <w:pgSz w:w="11906" w:h="16838"/>
          <w:pgMar w:top="1440" w:right="1800" w:bottom="1440" w:left="1800" w:header="851" w:footer="992" w:gutter="0"/>
          <w:cols w:space="425" w:num="1"/>
          <w:docGrid w:type="lines" w:linePitch="312" w:charSpace="0"/>
        </w:sectPr>
      </w:pPr>
      <w:r>
        <w:rPr>
          <w:rFonts w:ascii="Times New Roman" w:hAnsi="Times New Roman"/>
          <w:color w:val="auto"/>
          <w:sz w:val="28"/>
          <w:szCs w:val="28"/>
        </w:rPr>
        <w:t xml:space="preserve">                               </w:t>
      </w:r>
      <w:r>
        <w:rPr>
          <w:rFonts w:hint="eastAsia" w:ascii="Times New Roman" w:hAnsi="Times New Roman"/>
          <w:color w:val="auto"/>
          <w:sz w:val="28"/>
          <w:szCs w:val="28"/>
        </w:rPr>
        <w:t>　　</w:t>
      </w:r>
      <w:r>
        <w:rPr>
          <w:rFonts w:hint="eastAsia" w:ascii="Times New Roman" w:hAnsi="Times New Roman"/>
          <w:color w:val="auto"/>
          <w:sz w:val="28"/>
          <w:szCs w:val="28"/>
          <w:lang w:val="en-US" w:eastAsia="zh-CN"/>
        </w:rPr>
        <w:t xml:space="preserve">      </w:t>
      </w:r>
      <w:r>
        <w:rPr>
          <w:rFonts w:hint="eastAsia" w:ascii="Times New Roman" w:hAnsi="Times New Roman"/>
          <w:color w:val="auto"/>
          <w:sz w:val="28"/>
          <w:szCs w:val="28"/>
          <w:u w:val="single"/>
        </w:rPr>
        <w:t>　　</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年</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月</w:t>
      </w:r>
      <w:r>
        <w:rPr>
          <w:rFonts w:hint="eastAsia" w:ascii="Times New Roman" w:hAnsi="Times New Roman"/>
          <w:color w:val="auto"/>
          <w:sz w:val="28"/>
          <w:szCs w:val="28"/>
          <w:u w:val="single"/>
          <w:lang w:val="en-US" w:eastAsia="zh-CN"/>
        </w:rPr>
        <w:t xml:space="preserve">   </w:t>
      </w:r>
      <w:r>
        <w:rPr>
          <w:rFonts w:hint="eastAsia" w:ascii="Times New Roman" w:hAnsi="Times New Roman"/>
          <w:color w:val="auto"/>
          <w:sz w:val="28"/>
          <w:szCs w:val="28"/>
        </w:rPr>
        <w:t>日</w:t>
      </w:r>
    </w:p>
    <w:p w14:paraId="04661BC6">
      <w:pPr>
        <w:ind w:firstLine="5700" w:firstLineChars="1900"/>
        <w:rPr>
          <w:rFonts w:ascii="仿宋_GB2312" w:hAnsi="仿宋_GB2312" w:eastAsia="仿宋_GB2312" w:cs="仿宋_GB2312"/>
          <w:color w:val="auto"/>
          <w:sz w:val="30"/>
          <w:szCs w:val="30"/>
        </w:rPr>
      </w:pPr>
      <w:r>
        <w:rPr>
          <w:rFonts w:hint="eastAsia" w:ascii="仿宋_GB2312" w:hAnsi="仿宋_GB2312" w:eastAsia="仿宋_GB2312" w:cs="仿宋_GB2312"/>
          <w:color w:val="auto"/>
          <w:sz w:val="30"/>
          <w:szCs w:val="30"/>
        </w:rPr>
        <w:t>编号：</w:t>
      </w:r>
    </w:p>
    <w:p w14:paraId="7E839F4E">
      <w:pPr>
        <w:pStyle w:val="3"/>
        <w:rPr>
          <w:rFonts w:ascii="方正小标宋简体" w:hAnsi="方正小标宋简体" w:eastAsia="方正小标宋简体" w:cs="方正小标宋简体"/>
          <w:bCs/>
          <w:color w:val="auto"/>
          <w:szCs w:val="36"/>
        </w:rPr>
      </w:pPr>
      <w:r>
        <w:rPr>
          <w:rFonts w:hint="eastAsia" w:ascii="方正小标宋简体" w:hAnsi="方正小标宋简体" w:eastAsia="方正小标宋简体" w:cs="方正小标宋简体"/>
          <w:bCs/>
          <w:color w:val="auto"/>
          <w:szCs w:val="36"/>
        </w:rPr>
        <w:t>承租（受让）申请书</w:t>
      </w:r>
    </w:p>
    <w:p w14:paraId="579F5BA1">
      <w:pPr>
        <w:rPr>
          <w:rFonts w:ascii="仿宋_GB2312" w:hAnsi="仿宋_GB2312" w:eastAsia="仿宋_GB2312" w:cs="仿宋_GB2312"/>
          <w:color w:val="auto"/>
          <w:sz w:val="36"/>
          <w:szCs w:val="30"/>
        </w:rPr>
      </w:pPr>
    </w:p>
    <w:p w14:paraId="2FFD931A">
      <w:pPr>
        <w:rPr>
          <w:rFonts w:ascii="仿宋_GB2312" w:hAnsi="仿宋_GB2312" w:eastAsia="仿宋_GB2312" w:cs="仿宋_GB2312"/>
          <w:color w:val="auto"/>
          <w:sz w:val="30"/>
          <w:szCs w:val="30"/>
        </w:rPr>
      </w:pPr>
    </w:p>
    <w:p w14:paraId="39BBC6BF">
      <w:pPr>
        <w:rPr>
          <w:rFonts w:ascii="仿宋_GB2312" w:hAnsi="仿宋_GB2312" w:eastAsia="仿宋_GB2312" w:cs="仿宋_GB2312"/>
          <w:b/>
          <w:color w:val="auto"/>
          <w:sz w:val="30"/>
          <w:szCs w:val="30"/>
        </w:rPr>
      </w:pPr>
      <w:r>
        <w:rPr>
          <w:rFonts w:hint="eastAsia" w:ascii="仿宋_GB2312" w:hAnsi="仿宋_GB2312" w:eastAsia="仿宋_GB2312" w:cs="仿宋_GB2312"/>
          <w:b/>
          <w:color w:val="auto"/>
          <w:sz w:val="30"/>
          <w:szCs w:val="30"/>
        </w:rPr>
        <w:t>申请单位：</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3837285C">
      <w:pPr>
        <w:rPr>
          <w:rFonts w:ascii="仿宋_GB2312" w:hAnsi="仿宋_GB2312" w:eastAsia="仿宋_GB2312" w:cs="仿宋_GB2312"/>
          <w:b/>
          <w:color w:val="auto"/>
          <w:sz w:val="30"/>
          <w:szCs w:val="30"/>
        </w:rPr>
      </w:pPr>
    </w:p>
    <w:p w14:paraId="1B0D24CF">
      <w:pPr>
        <w:rPr>
          <w:rFonts w:ascii="仿宋_GB2312" w:hAnsi="仿宋_GB2312" w:eastAsia="仿宋_GB2312" w:cs="仿宋_GB2312"/>
          <w:b/>
          <w:color w:val="auto"/>
          <w:sz w:val="30"/>
          <w:szCs w:val="30"/>
          <w:u w:val="single"/>
        </w:rPr>
      </w:pPr>
      <w:r>
        <w:rPr>
          <w:rFonts w:hint="eastAsia" w:ascii="仿宋_GB2312" w:hAnsi="仿宋_GB2312" w:eastAsia="仿宋_GB2312" w:cs="仿宋_GB2312"/>
          <w:b/>
          <w:color w:val="auto"/>
          <w:sz w:val="30"/>
          <w:szCs w:val="30"/>
        </w:rPr>
        <w:t>法定代表人/负责人：</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r>
        <w:rPr>
          <w:rFonts w:hint="eastAsia" w:ascii="仿宋_GB2312" w:hAnsi="仿宋_GB2312" w:eastAsia="仿宋_GB2312" w:cs="仿宋_GB2312"/>
          <w:b/>
          <w:color w:val="auto"/>
          <w:sz w:val="30"/>
          <w:szCs w:val="30"/>
          <w:u w:val="single"/>
          <w:lang w:val="en-US" w:eastAsia="zh-CN"/>
        </w:rPr>
        <w:t xml:space="preserve">          </w:t>
      </w:r>
      <w:r>
        <w:rPr>
          <w:rFonts w:hint="eastAsia" w:ascii="仿宋_GB2312" w:hAnsi="仿宋_GB2312" w:eastAsia="仿宋_GB2312" w:cs="仿宋_GB2312"/>
          <w:b/>
          <w:color w:val="auto"/>
          <w:sz w:val="30"/>
          <w:szCs w:val="30"/>
          <w:u w:val="single"/>
        </w:rPr>
        <w:t xml:space="preserve">    </w:t>
      </w:r>
    </w:p>
    <w:p w14:paraId="18B54B68">
      <w:pPr>
        <w:rPr>
          <w:rFonts w:ascii="仿宋_GB2312" w:hAnsi="仿宋_GB2312" w:eastAsia="仿宋_GB2312" w:cs="仿宋_GB2312"/>
          <w:b/>
          <w:color w:val="auto"/>
          <w:sz w:val="30"/>
          <w:szCs w:val="30"/>
          <w:u w:val="single"/>
        </w:rPr>
      </w:pPr>
    </w:p>
    <w:p w14:paraId="109C9E38">
      <w:pPr>
        <w:rPr>
          <w:rFonts w:ascii="仿宋_GB2312" w:hAnsi="仿宋_GB2312" w:eastAsia="仿宋_GB2312" w:cs="仿宋_GB2312"/>
          <w:b/>
          <w:color w:val="auto"/>
          <w:sz w:val="30"/>
          <w:szCs w:val="30"/>
        </w:rPr>
      </w:pPr>
      <w:r>
        <w:rPr>
          <w:rFonts w:hint="eastAsia" w:ascii="仿宋_GB2312" w:hAnsi="仿宋_GB2312" w:eastAsia="仿宋_GB2312" w:cs="仿宋_GB2312"/>
          <w:color w:val="auto"/>
        </w:rPr>
        <mc:AlternateContent>
          <mc:Choice Requires="wps">
            <w:drawing>
              <wp:anchor distT="0" distB="0" distL="114300" distR="114300" simplePos="0" relativeHeight="251660288" behindDoc="0" locked="0" layoutInCell="1" allowOverlap="1">
                <wp:simplePos x="0" y="0"/>
                <wp:positionH relativeFrom="column">
                  <wp:posOffset>-342900</wp:posOffset>
                </wp:positionH>
                <wp:positionV relativeFrom="paragraph">
                  <wp:posOffset>99060</wp:posOffset>
                </wp:positionV>
                <wp:extent cx="6057900" cy="2674620"/>
                <wp:effectExtent l="4445" t="4445" r="14605" b="6985"/>
                <wp:wrapNone/>
                <wp:docPr id="128" name="矩形 128"/>
                <wp:cNvGraphicFramePr/>
                <a:graphic xmlns:a="http://schemas.openxmlformats.org/drawingml/2006/main">
                  <a:graphicData uri="http://schemas.microsoft.com/office/word/2010/wordprocessingShape">
                    <wps:wsp>
                      <wps:cNvSpPr/>
                      <wps:spPr>
                        <a:xfrm>
                          <a:off x="0" y="0"/>
                          <a:ext cx="6057900" cy="2674620"/>
                        </a:xfrm>
                        <a:prstGeom prst="rect">
                          <a:avLst/>
                        </a:prstGeom>
                        <a:solidFill>
                          <a:srgbClr val="FFFFFF"/>
                        </a:solidFill>
                        <a:ln w="9525" cap="flat" cmpd="sng">
                          <a:solidFill>
                            <a:srgbClr val="000000"/>
                          </a:solidFill>
                          <a:prstDash val="dash"/>
                          <a:miter/>
                          <a:headEnd type="none" w="med" len="med"/>
                          <a:tailEnd type="none" w="med" len="med"/>
                        </a:ln>
                        <a:effectLst/>
                      </wps:spPr>
                      <wps:txb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wps:txbx>
                      <wps:bodyPr upright="1"/>
                    </wps:wsp>
                  </a:graphicData>
                </a:graphic>
              </wp:anchor>
            </w:drawing>
          </mc:Choice>
          <mc:Fallback>
            <w:pict>
              <v:rect id="_x0000_s1026" o:spid="_x0000_s1026" o:spt="1" style="position:absolute;left:0pt;margin-left:-27pt;margin-top:7.8pt;height:210.6pt;width:477pt;z-index:251660288;mso-width-relative:page;mso-height-relative:page;" fillcolor="#FFFFFF" filled="t" stroked="t" coordsize="21600,21600" o:gfxdata="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">
                <v:fill on="t" focussize="0,0"/>
                <v:stroke color="#000000" joinstyle="miter" dashstyle="dash"/>
                <v:imagedata o:title=""/>
                <o:lock v:ext="edit" aspectratio="f"/>
                <v:textbox>
                  <w:txbxContent>
                    <w:p w14:paraId="6A051147">
                      <w:pPr>
                        <w:jc w:val="center"/>
                        <w:rPr>
                          <w:b/>
                          <w:sz w:val="42"/>
                        </w:rPr>
                      </w:pPr>
                    </w:p>
                    <w:p w14:paraId="1FC6F459">
                      <w:pPr>
                        <w:jc w:val="center"/>
                        <w:rPr>
                          <w:rFonts w:ascii="仿宋_GB2312" w:hAnsi="仿宋_GB2312" w:eastAsia="仿宋_GB2312" w:cs="仿宋_GB2312"/>
                          <w:b/>
                          <w:sz w:val="42"/>
                        </w:rPr>
                      </w:pPr>
                      <w:r>
                        <w:rPr>
                          <w:rFonts w:hint="eastAsia" w:ascii="仿宋_GB2312" w:hAnsi="仿宋_GB2312" w:eastAsia="仿宋_GB2312" w:cs="仿宋_GB2312"/>
                          <w:b/>
                          <w:sz w:val="42"/>
                        </w:rPr>
                        <w:t>敬  告</w:t>
                      </w:r>
                    </w:p>
                    <w:p w14:paraId="2690A4BB">
                      <w:pPr>
                        <w:rPr>
                          <w:rFonts w:ascii="仿宋_GB2312" w:hAnsi="仿宋_GB2312" w:eastAsia="仿宋_GB2312" w:cs="仿宋_GB2312"/>
                          <w:sz w:val="24"/>
                        </w:rPr>
                      </w:pPr>
                    </w:p>
                    <w:p w14:paraId="76828A2C">
                      <w:pPr>
                        <w:ind w:left="360" w:hanging="360" w:hangingChars="150"/>
                        <w:rPr>
                          <w:rFonts w:ascii="仿宋_GB2312" w:hAnsi="仿宋_GB2312" w:eastAsia="仿宋_GB2312" w:cs="仿宋_GB2312"/>
                          <w:sz w:val="24"/>
                        </w:rPr>
                      </w:pPr>
                      <w:r>
                        <w:rPr>
                          <w:rFonts w:hint="eastAsia" w:ascii="仿宋_GB2312" w:hAnsi="仿宋_GB2312" w:eastAsia="仿宋_GB2312" w:cs="仿宋_GB2312"/>
                          <w:sz w:val="24"/>
                        </w:rPr>
                        <w:t>1、申请人在填表前，应认真阅读并理解</w:t>
                      </w:r>
                      <w:r>
                        <w:rPr>
                          <w:rFonts w:hint="eastAsia" w:ascii="仿宋_GB2312" w:hAnsi="仿宋_GB2312" w:eastAsia="仿宋_GB2312" w:cs="仿宋_GB2312"/>
                          <w:sz w:val="24"/>
                          <w:szCs w:val="22"/>
                        </w:rPr>
                        <w:t>《</w:t>
                      </w:r>
                      <w:r>
                        <w:rPr>
                          <w:rFonts w:hint="eastAsia" w:ascii="仿宋_GB2312" w:hAnsi="仿宋_GB2312" w:eastAsia="仿宋_GB2312" w:cs="仿宋_GB2312"/>
                          <w:sz w:val="24"/>
                          <w:szCs w:val="22"/>
                          <w:lang w:val="en-US" w:eastAsia="zh-CN"/>
                        </w:rPr>
                        <w:t>屯昌</w:t>
                      </w:r>
                      <w:r>
                        <w:rPr>
                          <w:rFonts w:hint="eastAsia" w:ascii="仿宋_GB2312" w:hAnsi="仿宋_GB2312" w:eastAsia="仿宋_GB2312" w:cs="仿宋_GB2312"/>
                          <w:sz w:val="24"/>
                          <w:szCs w:val="22"/>
                        </w:rPr>
                        <w:t>农村产权交易</w:t>
                      </w:r>
                      <w:r>
                        <w:rPr>
                          <w:rFonts w:hint="eastAsia" w:ascii="仿宋_GB2312" w:hAnsi="仿宋_GB2312" w:eastAsia="仿宋_GB2312" w:cs="仿宋_GB2312"/>
                          <w:sz w:val="24"/>
                          <w:szCs w:val="22"/>
                          <w:lang w:val="en-US" w:eastAsia="zh-CN"/>
                        </w:rPr>
                        <w:t>中心</w:t>
                      </w:r>
                      <w:r>
                        <w:rPr>
                          <w:rFonts w:hint="eastAsia" w:ascii="仿宋_GB2312" w:hAnsi="仿宋_GB2312" w:eastAsia="仿宋_GB2312" w:cs="仿宋_GB2312"/>
                          <w:sz w:val="24"/>
                          <w:szCs w:val="22"/>
                        </w:rPr>
                        <w:t>交易规则（试行）</w:t>
                      </w:r>
                      <w:r>
                        <w:rPr>
                          <w:rFonts w:hint="eastAsia" w:ascii="仿宋_GB2312" w:hAnsi="仿宋_GB2312" w:eastAsia="仿宋_GB2312" w:cs="仿宋_GB2312"/>
                          <w:sz w:val="24"/>
                        </w:rPr>
                        <w:t>》及相关规定。</w:t>
                      </w:r>
                    </w:p>
                    <w:p w14:paraId="03DCF2CC">
                      <w:pPr>
                        <w:rPr>
                          <w:rFonts w:ascii="仿宋_GB2312" w:hAnsi="仿宋_GB2312" w:eastAsia="仿宋_GB2312" w:cs="仿宋_GB2312"/>
                          <w:sz w:val="24"/>
                        </w:rPr>
                      </w:pPr>
                      <w:r>
                        <w:rPr>
                          <w:rFonts w:hint="eastAsia" w:ascii="仿宋_GB2312" w:hAnsi="仿宋_GB2312" w:eastAsia="仿宋_GB2312" w:cs="仿宋_GB2312"/>
                          <w:sz w:val="24"/>
                        </w:rPr>
                        <w:t>2、申请书各项内容务请如实、准确填写。</w:t>
                      </w:r>
                    </w:p>
                    <w:p w14:paraId="341354AC">
                      <w:pPr>
                        <w:rPr>
                          <w:rFonts w:ascii="仿宋_GB2312" w:hAnsi="仿宋_GB2312" w:eastAsia="仿宋_GB2312" w:cs="仿宋_GB2312"/>
                          <w:sz w:val="24"/>
                        </w:rPr>
                      </w:pPr>
                      <w:r>
                        <w:rPr>
                          <w:rFonts w:hint="eastAsia" w:ascii="仿宋_GB2312" w:hAnsi="仿宋_GB2312" w:eastAsia="仿宋_GB2312" w:cs="仿宋_GB2312"/>
                          <w:sz w:val="24"/>
                        </w:rPr>
                        <w:t>3、填写时请使用黑色墨水，字迹工整，不得涂改。</w:t>
                      </w:r>
                    </w:p>
                    <w:p w14:paraId="1CBFAB0E">
                      <w:pPr>
                        <w:rPr>
                          <w:rFonts w:ascii="仿宋_GB2312" w:hAnsi="仿宋_GB2312" w:eastAsia="仿宋_GB2312" w:cs="仿宋_GB2312"/>
                          <w:sz w:val="24"/>
                        </w:rPr>
                      </w:pPr>
                      <w:r>
                        <w:rPr>
                          <w:rFonts w:hint="eastAsia" w:ascii="仿宋_GB2312" w:hAnsi="仿宋_GB2312" w:eastAsia="仿宋_GB2312" w:cs="仿宋_GB2312"/>
                          <w:sz w:val="24"/>
                        </w:rPr>
                        <w:t>4、本申请书请申请方加盖骑缝章。</w:t>
                      </w:r>
                    </w:p>
                  </w:txbxContent>
                </v:textbox>
              </v:rect>
            </w:pict>
          </mc:Fallback>
        </mc:AlternateContent>
      </w:r>
    </w:p>
    <w:p w14:paraId="2CD6FC82">
      <w:pPr>
        <w:rPr>
          <w:rFonts w:ascii="仿宋_GB2312" w:hAnsi="仿宋_GB2312" w:eastAsia="仿宋_GB2312" w:cs="仿宋_GB2312"/>
          <w:color w:val="auto"/>
          <w:sz w:val="30"/>
          <w:szCs w:val="30"/>
        </w:rPr>
      </w:pPr>
    </w:p>
    <w:p w14:paraId="06AE0C79">
      <w:pPr>
        <w:rPr>
          <w:rFonts w:ascii="仿宋_GB2312" w:hAnsi="仿宋_GB2312" w:eastAsia="仿宋_GB2312" w:cs="仿宋_GB2312"/>
          <w:color w:val="auto"/>
          <w:sz w:val="30"/>
          <w:szCs w:val="30"/>
        </w:rPr>
      </w:pPr>
    </w:p>
    <w:p w14:paraId="4318BD40">
      <w:pPr>
        <w:rPr>
          <w:rFonts w:ascii="仿宋_GB2312" w:hAnsi="仿宋_GB2312" w:eastAsia="仿宋_GB2312" w:cs="仿宋_GB2312"/>
          <w:color w:val="auto"/>
          <w:sz w:val="30"/>
          <w:szCs w:val="30"/>
        </w:rPr>
      </w:pPr>
    </w:p>
    <w:p w14:paraId="326C9F16">
      <w:pPr>
        <w:rPr>
          <w:rFonts w:ascii="仿宋_GB2312" w:hAnsi="仿宋_GB2312" w:eastAsia="仿宋_GB2312" w:cs="仿宋_GB2312"/>
          <w:color w:val="auto"/>
          <w:sz w:val="30"/>
          <w:szCs w:val="30"/>
        </w:rPr>
      </w:pPr>
    </w:p>
    <w:p w14:paraId="05F1C06E">
      <w:pPr>
        <w:rPr>
          <w:rFonts w:ascii="仿宋_GB2312" w:hAnsi="仿宋_GB2312" w:eastAsia="仿宋_GB2312" w:cs="仿宋_GB2312"/>
          <w:color w:val="auto"/>
          <w:sz w:val="30"/>
          <w:szCs w:val="30"/>
        </w:rPr>
      </w:pPr>
    </w:p>
    <w:p w14:paraId="3581738D">
      <w:pPr>
        <w:rPr>
          <w:rFonts w:ascii="仿宋_GB2312" w:hAnsi="仿宋_GB2312" w:eastAsia="仿宋_GB2312" w:cs="仿宋_GB2312"/>
          <w:color w:val="auto"/>
          <w:sz w:val="30"/>
          <w:szCs w:val="30"/>
        </w:rPr>
      </w:pPr>
    </w:p>
    <w:p w14:paraId="1EC99C58">
      <w:pPr>
        <w:rPr>
          <w:rFonts w:ascii="仿宋_GB2312" w:hAnsi="仿宋_GB2312" w:eastAsia="仿宋_GB2312" w:cs="仿宋_GB2312"/>
          <w:color w:val="auto"/>
          <w:sz w:val="30"/>
          <w:szCs w:val="30"/>
        </w:rPr>
      </w:pPr>
    </w:p>
    <w:p w14:paraId="0BC67BA8">
      <w:pPr>
        <w:pStyle w:val="6"/>
        <w:rPr>
          <w:color w:val="auto"/>
        </w:rPr>
      </w:pPr>
    </w:p>
    <w:p w14:paraId="36D4572D">
      <w:pPr>
        <w:jc w:val="center"/>
        <w:rPr>
          <w:rFonts w:ascii="仿宋_GB2312" w:hAnsi="仿宋_GB2312" w:eastAsia="仿宋_GB2312" w:cs="仿宋_GB2312"/>
          <w:b/>
          <w:color w:val="auto"/>
          <w:sz w:val="36"/>
          <w:szCs w:val="30"/>
        </w:rPr>
      </w:pPr>
      <w:r>
        <w:rPr>
          <w:rFonts w:hint="eastAsia" w:ascii="仿宋_GB2312" w:hAnsi="仿宋_GB2312" w:eastAsia="仿宋_GB2312" w:cs="仿宋_GB2312"/>
          <w:b/>
          <w:color w:val="auto"/>
          <w:sz w:val="36"/>
          <w:szCs w:val="30"/>
          <w:lang w:val="en-US" w:eastAsia="zh-CN"/>
        </w:rPr>
        <w:t>屯昌县农村产权交易中心</w:t>
      </w:r>
      <w:r>
        <w:rPr>
          <w:rFonts w:hint="eastAsia" w:ascii="仿宋_GB2312" w:hAnsi="仿宋_GB2312" w:eastAsia="仿宋_GB2312" w:cs="仿宋_GB2312"/>
          <w:b/>
          <w:color w:val="auto"/>
          <w:sz w:val="36"/>
          <w:szCs w:val="30"/>
        </w:rPr>
        <w:t>有限公司制</w:t>
      </w:r>
    </w:p>
    <w:p w14:paraId="4EE71ADE">
      <w:pPr>
        <w:widowControl/>
        <w:jc w:val="left"/>
        <w:rPr>
          <w:rFonts w:ascii="仿宋_GB2312" w:hAnsi="仿宋_GB2312" w:eastAsia="仿宋_GB2312" w:cs="仿宋_GB2312"/>
          <w:color w:val="auto"/>
          <w:sz w:val="30"/>
          <w:szCs w:val="30"/>
        </w:rPr>
      </w:pPr>
      <w:r>
        <w:rPr>
          <w:rFonts w:ascii="仿宋_GB2312" w:hAnsi="仿宋_GB2312" w:eastAsia="仿宋_GB2312" w:cs="仿宋_GB2312"/>
          <w:color w:val="auto"/>
          <w:sz w:val="30"/>
          <w:szCs w:val="30"/>
        </w:rPr>
        <w:br w:type="page"/>
      </w:r>
    </w:p>
    <w:p w14:paraId="6B61F397">
      <w:pPr>
        <w:pStyle w:val="3"/>
        <w:spacing w:line="400" w:lineRule="exact"/>
        <w:rPr>
          <w:rFonts w:hint="eastAsia" w:ascii="新宋体" w:hAnsi="新宋体" w:eastAsia="新宋体" w:cs="新宋体"/>
          <w:b/>
          <w:bCs/>
          <w:color w:val="auto"/>
          <w:sz w:val="28"/>
          <w:szCs w:val="28"/>
        </w:rPr>
      </w:pPr>
      <w:r>
        <w:rPr>
          <w:rFonts w:hint="eastAsia" w:ascii="新宋体" w:hAnsi="新宋体" w:eastAsia="新宋体" w:cs="新宋体"/>
          <w:b/>
          <w:bCs/>
          <w:color w:val="auto"/>
          <w:sz w:val="28"/>
          <w:szCs w:val="28"/>
        </w:rPr>
        <w:t>意向承租（受让）函</w:t>
      </w:r>
    </w:p>
    <w:p w14:paraId="0474E8C9">
      <w:pPr>
        <w:rPr>
          <w:rFonts w:hint="eastAsia" w:ascii="新宋体" w:hAnsi="新宋体" w:eastAsia="新宋体" w:cs="新宋体"/>
          <w:bCs/>
          <w:color w:val="auto"/>
          <w:sz w:val="24"/>
          <w:szCs w:val="24"/>
        </w:rPr>
      </w:pPr>
      <w:r>
        <w:rPr>
          <w:rFonts w:hint="eastAsia" w:ascii="新宋体" w:hAnsi="新宋体" w:eastAsia="新宋体" w:cs="新宋体"/>
          <w:color w:val="auto"/>
          <w:sz w:val="24"/>
          <w:szCs w:val="24"/>
          <w:lang w:val="en-US" w:eastAsia="zh-CN"/>
        </w:rPr>
        <w:t>屯昌县农村产权交易中心</w:t>
      </w:r>
      <w:r>
        <w:rPr>
          <w:rFonts w:hint="eastAsia" w:ascii="新宋体" w:hAnsi="新宋体" w:eastAsia="新宋体" w:cs="新宋体"/>
          <w:color w:val="auto"/>
          <w:sz w:val="24"/>
          <w:szCs w:val="24"/>
        </w:rPr>
        <w:t>有限公司：</w:t>
      </w:r>
    </w:p>
    <w:p w14:paraId="0FE0754C">
      <w:pPr>
        <w:spacing w:line="440" w:lineRule="exact"/>
        <w:ind w:firstLine="480" w:firstLineChars="200"/>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mc:AlternateContent>
          <mc:Choice Requires="wps">
            <w:drawing>
              <wp:anchor distT="0" distB="0" distL="114300" distR="114300" simplePos="0" relativeHeight="251662336"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3" name="直接连接符 143"/>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2336;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OtEMVXwAQAA5gMAAA4AAABkcnMvZTJvRG9jLnhtbK1TzW4T&#10;MRC+I/EOlu9k05R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l4ecqZA0tX&#10;fvfl5+3nb79/faX17sd3lkMkVB+wpvwrt4rjDsMqZta7Ntr8Jz5sV8TdH8RVu8QEOc9P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60QxV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color w:val="auto"/>
          <w:sz w:val="24"/>
          <w:szCs w:val="24"/>
        </w:rPr>
        <mc:AlternateContent>
          <mc:Choice Requires="wps">
            <w:drawing>
              <wp:anchor distT="0" distB="0" distL="114300" distR="114300" simplePos="0" relativeHeight="251661312" behindDoc="0" locked="0" layoutInCell="1" allowOverlap="1">
                <wp:simplePos x="0" y="0"/>
                <wp:positionH relativeFrom="column">
                  <wp:posOffset>2400300</wp:posOffset>
                </wp:positionH>
                <wp:positionV relativeFrom="paragraph">
                  <wp:posOffset>631825</wp:posOffset>
                </wp:positionV>
                <wp:extent cx="635" cy="0"/>
                <wp:effectExtent l="0" t="0" r="0" b="0"/>
                <wp:wrapNone/>
                <wp:docPr id="144" name="直接连接符 144"/>
                <wp:cNvGraphicFramePr/>
                <a:graphic xmlns:a="http://schemas.openxmlformats.org/drawingml/2006/main">
                  <a:graphicData uri="http://schemas.microsoft.com/office/word/2010/wordprocessingShape">
                    <wps:wsp>
                      <wps:cNvCnPr/>
                      <wps:spPr>
                        <a:xfrm>
                          <a:off x="0" y="0"/>
                          <a:ext cx="635" cy="0"/>
                        </a:xfrm>
                        <a:prstGeom prst="line">
                          <a:avLst/>
                        </a:prstGeom>
                        <a:ln w="9525" cap="flat" cmpd="sng">
                          <a:solidFill>
                            <a:srgbClr val="000000"/>
                          </a:solidFill>
                          <a:prstDash val="solid"/>
                          <a:headEnd type="none" w="med" len="med"/>
                          <a:tailEnd type="none" w="med" len="med"/>
                        </a:ln>
                        <a:effectLst/>
                      </wps:spPr>
                      <wps:bodyPr/>
                    </wps:wsp>
                  </a:graphicData>
                </a:graphic>
              </wp:anchor>
            </w:drawing>
          </mc:Choice>
          <mc:Fallback>
            <w:pict>
              <v:line id="_x0000_s1026" o:spid="_x0000_s1026" o:spt="20" style="position:absolute;left:0pt;margin-left:189pt;margin-top:49.75pt;height:0pt;width:0.05pt;z-index:251661312;mso-width-relative:page;mso-height-relative:page;" filled="f" stroked="t" coordsize="21600,21600" o:gfxdata="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">
                <v:fill on="f" focussize="0,0"/>
                <v:stroke color="#000000" joinstyle="round"/>
                <v:imagedata o:title=""/>
                <o:lock v:ext="edit" aspectratio="f"/>
              </v:line>
            </w:pict>
          </mc:Fallback>
        </mc:AlternateContent>
      </w:r>
      <w:r>
        <w:rPr>
          <w:rFonts w:hint="eastAsia" w:ascii="新宋体" w:hAnsi="新宋体" w:eastAsia="新宋体" w:cs="新宋体"/>
          <w:bCs/>
          <w:color w:val="auto"/>
          <w:sz w:val="24"/>
          <w:szCs w:val="24"/>
        </w:rPr>
        <w:t>根据有关农村产权流转交易的法律法规及政策规定，本意向方现向</w:t>
      </w:r>
      <w:r>
        <w:rPr>
          <w:rFonts w:hint="eastAsia" w:ascii="新宋体" w:hAnsi="新宋体" w:eastAsia="新宋体" w:cs="新宋体"/>
          <w:bCs/>
          <w:color w:val="auto"/>
          <w:sz w:val="24"/>
          <w:szCs w:val="24"/>
          <w:lang w:val="en-US" w:eastAsia="zh-CN"/>
        </w:rPr>
        <w:t>屯昌县农村产权交易服务平台</w:t>
      </w:r>
      <w:r>
        <w:rPr>
          <w:rFonts w:hint="eastAsia" w:ascii="新宋体" w:hAnsi="新宋体" w:eastAsia="新宋体" w:cs="新宋体"/>
          <w:bCs/>
          <w:color w:val="auto"/>
          <w:sz w:val="24"/>
          <w:szCs w:val="24"/>
        </w:rPr>
        <w:t>（</w:t>
      </w:r>
      <w:r>
        <w:rPr>
          <w:rFonts w:hint="eastAsia" w:ascii="新宋体" w:hAnsi="新宋体" w:eastAsia="新宋体" w:cs="新宋体"/>
          <w:color w:val="auto"/>
          <w:sz w:val="24"/>
          <w:szCs w:val="24"/>
        </w:rPr>
        <w:t>https://tunchang.nongjiao.com/</w:t>
      </w:r>
      <w:r>
        <w:rPr>
          <w:rFonts w:hint="eastAsia" w:ascii="新宋体" w:hAnsi="新宋体" w:eastAsia="新宋体" w:cs="新宋体"/>
          <w:bCs/>
          <w:color w:val="auto"/>
          <w:sz w:val="24"/>
          <w:szCs w:val="24"/>
        </w:rPr>
        <w:t>，以下简称“平台”）申请承租（受让）</w:t>
      </w:r>
      <w:r>
        <w:rPr>
          <w:rFonts w:hint="eastAsia" w:ascii="新宋体" w:hAnsi="新宋体" w:eastAsia="新宋体" w:cs="新宋体"/>
          <w:bCs/>
          <w:color w:val="auto"/>
          <w:sz w:val="24"/>
          <w:szCs w:val="24"/>
          <w:u w:val="single"/>
          <w:lang w:val="en-US" w:eastAsia="zh-CN"/>
        </w:rPr>
        <w:t>屯昌县南坤镇藤寨墟农贸市场旁36㎡1号铁皮棚出租</w:t>
      </w:r>
      <w:r>
        <w:rPr>
          <w:rFonts w:hint="eastAsia" w:ascii="新宋体" w:hAnsi="新宋体" w:eastAsia="新宋体" w:cs="新宋体"/>
          <w:bCs/>
          <w:color w:val="auto"/>
          <w:sz w:val="24"/>
          <w:szCs w:val="24"/>
        </w:rPr>
        <w:t>，并承诺：</w:t>
      </w:r>
    </w:p>
    <w:p w14:paraId="66E36E10">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1、我方申请承租（受让）该项目，并接受项目公开挂牌信息所载的全部承租（受让）要求，我方承租（受让）行为已经过相应的有效内部决策并得到相应批准。</w:t>
      </w:r>
    </w:p>
    <w:p w14:paraId="7C9ACC84">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2、我方具有良好的财务状况、商业信用和农业投资经营能力，符合农村产权相关法律法规及政策对承租（受让）方条件的规定。</w:t>
      </w:r>
    </w:p>
    <w:p w14:paraId="5C980B9B">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3、我方对所填写的内容及提交的所有材料（包括原件、复印件）的真实性、合法性、有效性、完整性承担责任。</w:t>
      </w:r>
    </w:p>
    <w:p w14:paraId="24C8583C">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4、已知悉贵服务平台的交易规则，并充分理解和认可，同意按照贵服务平台《</w:t>
      </w:r>
      <w:r>
        <w:rPr>
          <w:rFonts w:hint="eastAsia" w:ascii="新宋体" w:hAnsi="新宋体" w:eastAsia="新宋体" w:cs="新宋体"/>
          <w:b/>
          <w:color w:val="auto"/>
          <w:sz w:val="24"/>
          <w:szCs w:val="24"/>
          <w:lang w:val="en-US" w:eastAsia="zh-CN"/>
        </w:rPr>
        <w:t>屯昌县农村产权交易服务平台</w:t>
      </w:r>
      <w:r>
        <w:rPr>
          <w:rFonts w:hint="eastAsia" w:ascii="新宋体" w:hAnsi="新宋体" w:eastAsia="新宋体" w:cs="新宋体"/>
          <w:b/>
          <w:color w:val="auto"/>
          <w:sz w:val="24"/>
          <w:szCs w:val="24"/>
        </w:rPr>
        <w:t>产权交易规则（试行）》等相关规定实施农村产权流转活动；信息公告期满后，若只征集到一个意向方，则协议成交；若征集到两个或两个以上意向方，则遵照相关规定，参与网络竞价。</w:t>
      </w:r>
    </w:p>
    <w:p w14:paraId="5B5BCB3D">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5、已知悉并认可贵服务平台的收费项目及标准，同意按规定交纳相关费用。</w:t>
      </w:r>
    </w:p>
    <w:p w14:paraId="0CE152A5">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6、本次意向申请系我方真实意愿，一经作出不予撤回或变更，我方将及时办理相关手续，配合接受资格审核，严格遵守有关交易规则。</w:t>
      </w:r>
    </w:p>
    <w:p w14:paraId="48512979">
      <w:pPr>
        <w:spacing w:line="440" w:lineRule="exact"/>
        <w:ind w:firstLine="482" w:firstLineChars="200"/>
        <w:rPr>
          <w:rFonts w:hint="eastAsia" w:ascii="新宋体" w:hAnsi="新宋体" w:eastAsia="新宋体" w:cs="新宋体"/>
          <w:b/>
          <w:color w:val="auto"/>
          <w:sz w:val="24"/>
          <w:szCs w:val="24"/>
        </w:rPr>
      </w:pPr>
      <w:bookmarkStart w:id="16" w:name="_Toc28981"/>
      <w:bookmarkStart w:id="17" w:name="_Toc13357"/>
      <w:bookmarkStart w:id="18" w:name="_Toc11532"/>
      <w:r>
        <w:rPr>
          <w:rFonts w:hint="eastAsia" w:ascii="新宋体" w:hAnsi="新宋体" w:eastAsia="新宋体" w:cs="新宋体"/>
          <w:b/>
          <w:color w:val="auto"/>
          <w:sz w:val="24"/>
          <w:szCs w:val="24"/>
        </w:rPr>
        <w:t>7、我方承诺不通过其他渠道进行本项目交易。</w:t>
      </w:r>
      <w:bookmarkEnd w:id="16"/>
      <w:bookmarkEnd w:id="17"/>
      <w:bookmarkEnd w:id="18"/>
    </w:p>
    <w:p w14:paraId="3FB280D4">
      <w:pPr>
        <w:pStyle w:val="6"/>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8、我方承诺在项目中标收到《标的竞得书》之后的规定时间内，完成合同签订及相关事宜，合同签订期间禁止将中标项目转让他人。</w:t>
      </w:r>
    </w:p>
    <w:p w14:paraId="53D1B95F">
      <w:pPr>
        <w:spacing w:line="440" w:lineRule="exact"/>
        <w:ind w:firstLine="482" w:firstLineChars="200"/>
        <w:rPr>
          <w:rFonts w:hint="eastAsia" w:ascii="新宋体" w:hAnsi="新宋体" w:eastAsia="新宋体" w:cs="新宋体"/>
          <w:b/>
          <w:color w:val="auto"/>
          <w:sz w:val="24"/>
          <w:szCs w:val="24"/>
        </w:rPr>
      </w:pPr>
      <w:r>
        <w:rPr>
          <w:rFonts w:hint="eastAsia" w:ascii="新宋体" w:hAnsi="新宋体" w:eastAsia="新宋体" w:cs="新宋体"/>
          <w:b/>
          <w:color w:val="auto"/>
          <w:sz w:val="24"/>
          <w:szCs w:val="24"/>
        </w:rPr>
        <w:t>9、我方承诺按平台规定交纳交易保证金，若我方无故放弃本项目或因我方自身原因放弃本项目的，视为违约，我方交纳的交易保证金将不予退还，作为违约金扣除。</w:t>
      </w:r>
    </w:p>
    <w:p w14:paraId="678865FC">
      <w:pPr>
        <w:pStyle w:val="6"/>
        <w:spacing w:line="440" w:lineRule="exact"/>
        <w:rPr>
          <w:rFonts w:hint="eastAsia" w:ascii="新宋体" w:hAnsi="新宋体" w:eastAsia="新宋体" w:cs="新宋体"/>
          <w:bCs/>
          <w:color w:val="auto"/>
          <w:sz w:val="24"/>
          <w:szCs w:val="24"/>
        </w:rPr>
      </w:pPr>
      <w:bookmarkStart w:id="19" w:name="_Toc7009"/>
      <w:bookmarkStart w:id="20" w:name="_Toc24611"/>
      <w:bookmarkStart w:id="21" w:name="_Toc31003"/>
      <w:r>
        <w:rPr>
          <w:rFonts w:hint="eastAsia" w:ascii="新宋体" w:hAnsi="新宋体" w:eastAsia="新宋体" w:cs="新宋体"/>
          <w:b/>
          <w:color w:val="auto"/>
          <w:sz w:val="24"/>
          <w:szCs w:val="24"/>
        </w:rPr>
        <w:t>10、最终解释权归</w:t>
      </w:r>
      <w:r>
        <w:rPr>
          <w:rFonts w:hint="eastAsia" w:ascii="新宋体" w:hAnsi="新宋体" w:eastAsia="新宋体" w:cs="新宋体"/>
          <w:b/>
          <w:color w:val="auto"/>
          <w:sz w:val="24"/>
          <w:szCs w:val="24"/>
          <w:lang w:val="en-US" w:eastAsia="zh-CN"/>
        </w:rPr>
        <w:t>屯昌县农村产权交易中心</w:t>
      </w:r>
      <w:r>
        <w:rPr>
          <w:rFonts w:hint="eastAsia" w:ascii="新宋体" w:hAnsi="新宋体" w:eastAsia="新宋体" w:cs="新宋体"/>
          <w:b/>
          <w:color w:val="auto"/>
          <w:sz w:val="24"/>
          <w:szCs w:val="24"/>
        </w:rPr>
        <w:t>有限公司。</w:t>
      </w:r>
      <w:bookmarkEnd w:id="19"/>
      <w:bookmarkEnd w:id="20"/>
      <w:bookmarkEnd w:id="21"/>
    </w:p>
    <w:p w14:paraId="14A4E8C0">
      <w:pPr>
        <w:spacing w:line="312" w:lineRule="auto"/>
        <w:ind w:firstLine="3840" w:firstLineChars="1600"/>
        <w:rPr>
          <w:rFonts w:hint="eastAsia" w:ascii="新宋体" w:hAnsi="新宋体" w:eastAsia="新宋体" w:cs="新宋体"/>
          <w:color w:val="auto"/>
          <w:sz w:val="24"/>
          <w:szCs w:val="24"/>
        </w:rPr>
      </w:pPr>
    </w:p>
    <w:p w14:paraId="3C8EB2A6">
      <w:pPr>
        <w:spacing w:line="296" w:lineRule="auto"/>
        <w:ind w:firstLine="3840" w:firstLineChars="1600"/>
        <w:rPr>
          <w:rFonts w:hint="eastAsia" w:ascii="新宋体" w:hAnsi="新宋体" w:eastAsia="新宋体" w:cs="新宋体"/>
          <w:color w:val="auto"/>
          <w:sz w:val="24"/>
          <w:szCs w:val="24"/>
          <w:u w:val="single"/>
        </w:rPr>
      </w:pPr>
      <w:bookmarkStart w:id="22" w:name="_Toc29057"/>
      <w:bookmarkStart w:id="23" w:name="_Toc4535"/>
      <w:bookmarkStart w:id="24" w:name="_Toc30986"/>
      <w:r>
        <w:rPr>
          <w:rFonts w:hint="eastAsia" w:ascii="新宋体" w:hAnsi="新宋体" w:eastAsia="新宋体" w:cs="新宋体"/>
          <w:color w:val="auto"/>
          <w:sz w:val="24"/>
          <w:szCs w:val="24"/>
        </w:rPr>
        <w:t>申 请 单 位（盖章）：</w:t>
      </w:r>
      <w:bookmarkEnd w:id="22"/>
      <w:bookmarkEnd w:id="23"/>
      <w:bookmarkEnd w:id="24"/>
      <w:r>
        <w:rPr>
          <w:rFonts w:hint="eastAsia" w:ascii="新宋体" w:hAnsi="新宋体" w:eastAsia="新宋体" w:cs="新宋体"/>
          <w:color w:val="auto"/>
          <w:sz w:val="24"/>
          <w:szCs w:val="24"/>
          <w:u w:val="single"/>
        </w:rPr>
        <w:t xml:space="preserve">                                                    </w:t>
      </w:r>
    </w:p>
    <w:p w14:paraId="3CD1D0E7">
      <w:pPr>
        <w:spacing w:line="296" w:lineRule="auto"/>
        <w:ind w:firstLine="3840" w:firstLineChars="1600"/>
        <w:outlineLvl w:val="1"/>
        <w:rPr>
          <w:rFonts w:hint="eastAsia" w:ascii="新宋体" w:hAnsi="新宋体" w:eastAsia="新宋体" w:cs="新宋体"/>
          <w:color w:val="auto"/>
          <w:sz w:val="24"/>
          <w:szCs w:val="24"/>
          <w:u w:val="single"/>
        </w:rPr>
      </w:pPr>
      <w:bookmarkStart w:id="25" w:name="_Toc17490"/>
      <w:bookmarkStart w:id="26" w:name="_Toc9059"/>
      <w:r>
        <w:rPr>
          <w:rFonts w:hint="eastAsia" w:ascii="新宋体" w:hAnsi="新宋体" w:eastAsia="新宋体" w:cs="新宋体"/>
          <w:color w:val="auto"/>
          <w:sz w:val="24"/>
          <w:szCs w:val="24"/>
        </w:rPr>
        <w:t>法定代表人（签字）：</w:t>
      </w:r>
      <w:bookmarkEnd w:id="25"/>
      <w:bookmarkEnd w:id="26"/>
      <w:r>
        <w:rPr>
          <w:rFonts w:hint="eastAsia" w:ascii="新宋体" w:hAnsi="新宋体" w:eastAsia="新宋体" w:cs="新宋体"/>
          <w:color w:val="auto"/>
          <w:sz w:val="24"/>
          <w:szCs w:val="24"/>
          <w:u w:val="single"/>
        </w:rPr>
        <w:t xml:space="preserve">                          </w:t>
      </w:r>
    </w:p>
    <w:p w14:paraId="4A8064C5">
      <w:pPr>
        <w:spacing w:line="296" w:lineRule="auto"/>
        <w:rPr>
          <w:rFonts w:hint="eastAsia" w:ascii="新宋体" w:hAnsi="新宋体" w:eastAsia="新宋体" w:cs="新宋体"/>
          <w:color w:val="auto"/>
          <w:sz w:val="24"/>
          <w:szCs w:val="24"/>
        </w:rPr>
      </w:pPr>
      <w:r>
        <w:rPr>
          <w:rFonts w:hint="eastAsia" w:ascii="新宋体" w:hAnsi="新宋体" w:eastAsia="新宋体" w:cs="新宋体"/>
          <w:color w:val="auto"/>
          <w:sz w:val="24"/>
          <w:szCs w:val="24"/>
        </w:rPr>
        <w:t xml:space="preserve">                                申 请 日 期：</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年</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月</w:t>
      </w:r>
      <w:r>
        <w:rPr>
          <w:rFonts w:hint="eastAsia" w:ascii="新宋体" w:hAnsi="新宋体" w:eastAsia="新宋体" w:cs="新宋体"/>
          <w:color w:val="auto"/>
          <w:sz w:val="24"/>
          <w:szCs w:val="24"/>
          <w:u w:val="single"/>
        </w:rPr>
        <w:t xml:space="preserve">     </w:t>
      </w:r>
      <w:r>
        <w:rPr>
          <w:rFonts w:hint="eastAsia" w:ascii="新宋体" w:hAnsi="新宋体" w:eastAsia="新宋体" w:cs="新宋体"/>
          <w:color w:val="auto"/>
          <w:sz w:val="24"/>
          <w:szCs w:val="24"/>
        </w:rPr>
        <w:t>日</w:t>
      </w:r>
    </w:p>
    <w:p w14:paraId="2A70383B">
      <w:pPr>
        <w:pStyle w:val="3"/>
        <w:spacing w:line="240" w:lineRule="auto"/>
        <w:rPr>
          <w:rFonts w:ascii="黑体" w:hAnsi="黑体"/>
          <w:color w:val="auto"/>
        </w:rPr>
      </w:pPr>
      <w:bookmarkStart w:id="27" w:name="_Toc29841"/>
      <w:bookmarkStart w:id="28" w:name="_Toc14469"/>
      <w:bookmarkStart w:id="29" w:name="_Toc13094"/>
      <w:bookmarkStart w:id="30" w:name="_Toc4580"/>
      <w:bookmarkStart w:id="31" w:name="_Toc12264"/>
      <w:bookmarkStart w:id="32" w:name="_Toc32101"/>
      <w:bookmarkStart w:id="33" w:name="_Toc11237"/>
      <w:r>
        <w:rPr>
          <w:rFonts w:hint="eastAsia" w:ascii="黑体" w:hAnsi="黑体"/>
          <w:color w:val="auto"/>
        </w:rPr>
        <w:t>意向承租（受让）方登记表</w:t>
      </w:r>
      <w:bookmarkEnd w:id="27"/>
      <w:bookmarkEnd w:id="28"/>
      <w:bookmarkEnd w:id="29"/>
      <w:bookmarkEnd w:id="30"/>
      <w:bookmarkEnd w:id="31"/>
      <w:bookmarkEnd w:id="32"/>
      <w:bookmarkEnd w:id="33"/>
    </w:p>
    <w:tbl>
      <w:tblPr>
        <w:tblStyle w:val="12"/>
        <w:tblW w:w="9320" w:type="dxa"/>
        <w:jc w:val="center"/>
        <w:tblLayout w:type="fixed"/>
        <w:tblCellMar>
          <w:top w:w="0" w:type="dxa"/>
          <w:left w:w="0" w:type="dxa"/>
          <w:bottom w:w="0" w:type="dxa"/>
          <w:right w:w="0" w:type="dxa"/>
        </w:tblCellMar>
      </w:tblPr>
      <w:tblGrid>
        <w:gridCol w:w="1413"/>
        <w:gridCol w:w="1520"/>
        <w:gridCol w:w="1006"/>
        <w:gridCol w:w="167"/>
        <w:gridCol w:w="945"/>
        <w:gridCol w:w="240"/>
        <w:gridCol w:w="75"/>
        <w:gridCol w:w="480"/>
        <w:gridCol w:w="1140"/>
        <w:gridCol w:w="75"/>
        <w:gridCol w:w="549"/>
        <w:gridCol w:w="381"/>
        <w:gridCol w:w="1329"/>
      </w:tblGrid>
      <w:tr w14:paraId="7316A6B3">
        <w:tblPrEx>
          <w:tblCellMar>
            <w:top w:w="0" w:type="dxa"/>
            <w:left w:w="0" w:type="dxa"/>
            <w:bottom w:w="0" w:type="dxa"/>
            <w:right w:w="0" w:type="dxa"/>
          </w:tblCellMar>
        </w:tblPrEx>
        <w:trPr>
          <w:trHeight w:val="567" w:hRule="atLeast"/>
          <w:jc w:val="center"/>
        </w:trPr>
        <w:tc>
          <w:tcPr>
            <w:tcW w:w="1413" w:type="dxa"/>
            <w:tcBorders>
              <w:top w:val="single" w:color="auto" w:sz="4" w:space="0"/>
              <w:left w:val="single" w:color="auto" w:sz="4" w:space="0"/>
              <w:bottom w:val="single" w:color="auto" w:sz="4" w:space="0"/>
              <w:right w:val="single" w:color="auto" w:sz="4" w:space="0"/>
            </w:tcBorders>
            <w:vAlign w:val="center"/>
          </w:tcPr>
          <w:p w14:paraId="2DCCC8F6">
            <w:pPr>
              <w:spacing w:line="360" w:lineRule="auto"/>
              <w:jc w:val="center"/>
              <w:rPr>
                <w:rFonts w:ascii="宋体" w:hAnsi="宋体" w:eastAsia="宋体"/>
                <w:bCs/>
                <w:color w:val="auto"/>
                <w:sz w:val="22"/>
              </w:rPr>
            </w:pPr>
            <w:r>
              <w:rPr>
                <w:rFonts w:hint="eastAsia" w:ascii="宋体" w:hAnsi="宋体" w:eastAsia="宋体"/>
                <w:bCs/>
                <w:color w:val="auto"/>
                <w:sz w:val="22"/>
              </w:rPr>
              <w:t>意向</w:t>
            </w:r>
            <w:r>
              <w:rPr>
                <w:rFonts w:hint="eastAsia" w:ascii="宋体" w:hAnsi="宋体"/>
                <w:bCs/>
                <w:color w:val="auto"/>
                <w:sz w:val="22"/>
              </w:rPr>
              <w:t>承租（受让）</w:t>
            </w:r>
            <w:r>
              <w:rPr>
                <w:rFonts w:hint="eastAsia" w:ascii="宋体" w:hAnsi="宋体" w:eastAsia="宋体"/>
                <w:bCs/>
                <w:color w:val="auto"/>
                <w:sz w:val="22"/>
              </w:rPr>
              <w:t>方名称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36690D98">
            <w:pPr>
              <w:spacing w:line="360" w:lineRule="auto"/>
              <w:jc w:val="center"/>
              <w:rPr>
                <w:color w:val="auto"/>
              </w:rPr>
            </w:pPr>
          </w:p>
        </w:tc>
      </w:tr>
      <w:tr w14:paraId="652D5BF3">
        <w:tblPrEx>
          <w:tblCellMar>
            <w:top w:w="0" w:type="dxa"/>
            <w:left w:w="0" w:type="dxa"/>
            <w:bottom w:w="0" w:type="dxa"/>
            <w:right w:w="0" w:type="dxa"/>
          </w:tblCellMar>
        </w:tblPrEx>
        <w:trPr>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0C35FD10">
            <w:pPr>
              <w:spacing w:line="360" w:lineRule="auto"/>
              <w:jc w:val="center"/>
              <w:rPr>
                <w:rFonts w:ascii="宋体" w:hAnsi="宋体" w:eastAsia="宋体"/>
                <w:bCs/>
                <w:color w:val="auto"/>
                <w:sz w:val="22"/>
              </w:rPr>
            </w:pPr>
            <w:r>
              <w:rPr>
                <w:rFonts w:hint="eastAsia" w:ascii="宋体" w:hAnsi="宋体" w:eastAsia="宋体"/>
                <w:bCs/>
                <w:color w:val="auto"/>
                <w:sz w:val="22"/>
              </w:rPr>
              <w:t>联系方式</w:t>
            </w:r>
          </w:p>
        </w:tc>
        <w:tc>
          <w:tcPr>
            <w:tcW w:w="1520" w:type="dxa"/>
            <w:tcBorders>
              <w:top w:val="single" w:color="auto" w:sz="4" w:space="0"/>
              <w:left w:val="single" w:color="auto" w:sz="4" w:space="0"/>
              <w:bottom w:val="single" w:color="auto" w:sz="4" w:space="0"/>
              <w:right w:val="single" w:color="auto" w:sz="4" w:space="0"/>
            </w:tcBorders>
            <w:vAlign w:val="center"/>
          </w:tcPr>
          <w:p w14:paraId="7EF75610">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79D73F4B">
            <w:pPr>
              <w:spacing w:line="360" w:lineRule="auto"/>
              <w:jc w:val="center"/>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546C691F">
            <w:pPr>
              <w:spacing w:line="360" w:lineRule="auto"/>
              <w:jc w:val="center"/>
              <w:rPr>
                <w:rFonts w:ascii="宋体" w:hAnsi="宋体" w:eastAsia="宋体"/>
                <w:color w:val="auto"/>
                <w:sz w:val="22"/>
              </w:rPr>
            </w:pPr>
            <w:r>
              <w:rPr>
                <w:rFonts w:hint="eastAsia" w:ascii="宋体" w:hAnsi="宋体" w:eastAsia="宋体"/>
                <w:color w:val="auto"/>
                <w:sz w:val="22"/>
              </w:rPr>
              <w:t>电话</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26189662">
            <w:pPr>
              <w:spacing w:line="360" w:lineRule="auto"/>
              <w:jc w:val="center"/>
              <w:rPr>
                <w:rFonts w:hint="default" w:ascii="宋体" w:hAnsi="宋体" w:eastAsia="宋体"/>
                <w:color w:val="auto"/>
                <w:sz w:val="22"/>
                <w:lang w:val="en-US" w:eastAsia="zh-CN"/>
              </w:rPr>
            </w:pPr>
          </w:p>
        </w:tc>
      </w:tr>
      <w:tr w14:paraId="289B47D8">
        <w:tblPrEx>
          <w:tblCellMar>
            <w:top w:w="0" w:type="dxa"/>
            <w:left w:w="0" w:type="dxa"/>
            <w:bottom w:w="0" w:type="dxa"/>
            <w:right w:w="0" w:type="dxa"/>
          </w:tblCellMar>
        </w:tblPrEx>
        <w:trPr>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4DD1777">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1834FB4">
            <w:pPr>
              <w:spacing w:line="360" w:lineRule="auto"/>
              <w:jc w:val="center"/>
              <w:rPr>
                <w:rFonts w:ascii="宋体" w:hAnsi="宋体" w:eastAsia="宋体"/>
                <w:color w:val="auto"/>
                <w:sz w:val="22"/>
              </w:rPr>
            </w:pPr>
            <w:r>
              <w:rPr>
                <w:rFonts w:hint="eastAsia" w:ascii="宋体" w:hAnsi="宋体" w:eastAsia="宋体"/>
                <w:color w:val="auto"/>
                <w:sz w:val="22"/>
              </w:rPr>
              <w:t>传真</w:t>
            </w:r>
          </w:p>
        </w:tc>
        <w:tc>
          <w:tcPr>
            <w:tcW w:w="2358" w:type="dxa"/>
            <w:gridSpan w:val="4"/>
            <w:tcBorders>
              <w:top w:val="single" w:color="auto" w:sz="4" w:space="0"/>
              <w:left w:val="single" w:color="auto" w:sz="4" w:space="0"/>
              <w:bottom w:val="single" w:color="auto" w:sz="4" w:space="0"/>
              <w:right w:val="single" w:color="auto" w:sz="4" w:space="0"/>
            </w:tcBorders>
            <w:vAlign w:val="center"/>
          </w:tcPr>
          <w:p w14:paraId="1CEC9E0A">
            <w:pPr>
              <w:spacing w:line="360" w:lineRule="auto"/>
              <w:rPr>
                <w:rFonts w:ascii="宋体" w:hAnsi="宋体" w:eastAsia="宋体"/>
                <w:color w:val="auto"/>
                <w:sz w:val="22"/>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049F402A">
            <w:pPr>
              <w:spacing w:line="360" w:lineRule="auto"/>
              <w:jc w:val="center"/>
              <w:rPr>
                <w:rFonts w:ascii="宋体" w:hAnsi="宋体" w:eastAsia="宋体"/>
                <w:color w:val="auto"/>
                <w:sz w:val="22"/>
              </w:rPr>
            </w:pPr>
            <w:r>
              <w:rPr>
                <w:rFonts w:hint="eastAsia" w:ascii="宋体" w:hAnsi="宋体" w:eastAsia="宋体"/>
                <w:color w:val="auto"/>
                <w:sz w:val="22"/>
              </w:rPr>
              <w:t>电子邮件</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7BDC6F69">
            <w:pPr>
              <w:spacing w:line="360" w:lineRule="auto"/>
              <w:rPr>
                <w:rFonts w:ascii="宋体" w:hAnsi="宋体" w:eastAsia="宋体"/>
                <w:color w:val="auto"/>
                <w:sz w:val="22"/>
              </w:rPr>
            </w:pPr>
          </w:p>
        </w:tc>
      </w:tr>
      <w:tr w14:paraId="2CFED69D">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bottom w:val="single" w:color="auto" w:sz="4" w:space="0"/>
              <w:right w:val="single" w:color="auto" w:sz="4" w:space="0"/>
            </w:tcBorders>
            <w:vAlign w:val="center"/>
          </w:tcPr>
          <w:p w14:paraId="41C3427E">
            <w:pPr>
              <w:spacing w:line="360" w:lineRule="auto"/>
              <w:jc w:val="center"/>
              <w:rPr>
                <w:rFonts w:ascii="宋体" w:hAnsi="宋体" w:eastAsia="宋体"/>
                <w:bCs/>
                <w:color w:val="auto"/>
                <w:sz w:val="22"/>
              </w:rPr>
            </w:pPr>
            <w:r>
              <w:rPr>
                <w:rFonts w:hint="eastAsia" w:ascii="宋体" w:hAnsi="宋体" w:eastAsia="宋体"/>
                <w:bCs/>
                <w:color w:val="auto"/>
                <w:sz w:val="22"/>
              </w:rPr>
              <w:t>基本情况</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468190CB">
            <w:pPr>
              <w:spacing w:line="360" w:lineRule="auto"/>
              <w:jc w:val="center"/>
              <w:rPr>
                <w:rFonts w:ascii="宋体" w:hAnsi="宋体" w:eastAsia="宋体"/>
                <w:color w:val="auto"/>
                <w:sz w:val="22"/>
              </w:rPr>
            </w:pPr>
            <w:r>
              <w:rPr>
                <w:rFonts w:hint="eastAsia" w:ascii="宋体" w:hAnsi="宋体" w:eastAsia="宋体"/>
                <w:bCs/>
                <w:color w:val="auto"/>
                <w:sz w:val="22"/>
              </w:rPr>
              <w:t>法</w:t>
            </w:r>
            <w:r>
              <w:rPr>
                <w:rFonts w:ascii="宋体" w:hAnsi="宋体" w:eastAsia="宋体"/>
                <w:bCs/>
                <w:color w:val="auto"/>
                <w:sz w:val="22"/>
              </w:rPr>
              <w:t xml:space="preserve">  </w:t>
            </w:r>
            <w:r>
              <w:rPr>
                <w:rFonts w:hint="eastAsia" w:ascii="宋体" w:hAnsi="宋体" w:eastAsia="宋体"/>
                <w:bCs/>
                <w:color w:val="auto"/>
                <w:sz w:val="22"/>
              </w:rPr>
              <w:t>人</w:t>
            </w:r>
          </w:p>
        </w:tc>
      </w:tr>
      <w:tr w14:paraId="33753A1C">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161F64A">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22AE0F9">
            <w:pPr>
              <w:spacing w:line="360" w:lineRule="auto"/>
              <w:jc w:val="center"/>
              <w:rPr>
                <w:rFonts w:ascii="宋体" w:hAnsi="宋体" w:eastAsia="宋体"/>
                <w:color w:val="auto"/>
                <w:sz w:val="22"/>
              </w:rPr>
            </w:pPr>
            <w:r>
              <w:rPr>
                <w:rFonts w:hint="eastAsia" w:ascii="宋体" w:hAnsi="宋体" w:eastAsia="宋体"/>
                <w:color w:val="auto"/>
                <w:sz w:val="22"/>
              </w:rPr>
              <w:t>详细地址</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DD3FB56">
            <w:pPr>
              <w:spacing w:line="360" w:lineRule="auto"/>
              <w:rPr>
                <w:rFonts w:hint="default" w:ascii="宋体" w:hAnsi="宋体" w:eastAsia="宋体"/>
                <w:color w:val="auto"/>
                <w:sz w:val="22"/>
                <w:lang w:val="en-US" w:eastAsia="zh-CN"/>
              </w:rPr>
            </w:pPr>
          </w:p>
        </w:tc>
      </w:tr>
      <w:tr w14:paraId="64E76AE1">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281EE01">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CF9A8C0">
            <w:pPr>
              <w:spacing w:line="360" w:lineRule="auto"/>
              <w:jc w:val="center"/>
              <w:rPr>
                <w:rFonts w:ascii="宋体" w:hAnsi="宋体" w:eastAsia="宋体"/>
                <w:color w:val="auto"/>
                <w:sz w:val="22"/>
              </w:rPr>
            </w:pPr>
            <w:r>
              <w:rPr>
                <w:rFonts w:hint="eastAsia" w:ascii="宋体" w:hAnsi="宋体" w:eastAsia="宋体"/>
                <w:color w:val="auto"/>
                <w:sz w:val="22"/>
              </w:rPr>
              <w:t>成立时间</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0D85C13B">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6FD02821">
            <w:pPr>
              <w:spacing w:line="360" w:lineRule="auto"/>
              <w:jc w:val="center"/>
              <w:rPr>
                <w:rFonts w:ascii="宋体" w:hAnsi="宋体" w:eastAsia="宋体"/>
                <w:color w:val="auto"/>
                <w:sz w:val="22"/>
              </w:rPr>
            </w:pPr>
            <w:r>
              <w:rPr>
                <w:rFonts w:hint="eastAsia" w:ascii="宋体" w:hAnsi="宋体" w:eastAsia="宋体"/>
                <w:color w:val="auto"/>
                <w:sz w:val="22"/>
              </w:rPr>
              <w:t>注册资本</w:t>
            </w:r>
            <w:r>
              <w:rPr>
                <w:rFonts w:ascii="宋体" w:hAnsi="宋体" w:eastAsia="宋体"/>
                <w:color w:val="auto"/>
                <w:sz w:val="22"/>
              </w:rPr>
              <w:t>(</w:t>
            </w:r>
            <w:r>
              <w:rPr>
                <w:rFonts w:hint="eastAsia" w:ascii="宋体" w:hAnsi="宋体" w:eastAsia="宋体"/>
                <w:color w:val="auto"/>
                <w:sz w:val="22"/>
              </w:rPr>
              <w:t>万元</w:t>
            </w:r>
            <w:r>
              <w:rPr>
                <w:rFonts w:ascii="宋体" w:hAnsi="宋体" w:eastAsia="宋体"/>
                <w:color w:val="auto"/>
                <w:sz w:val="22"/>
              </w:rPr>
              <w:t>)</w:t>
            </w:r>
          </w:p>
        </w:tc>
        <w:tc>
          <w:tcPr>
            <w:tcW w:w="2259" w:type="dxa"/>
            <w:gridSpan w:val="3"/>
            <w:tcBorders>
              <w:top w:val="single" w:color="auto" w:sz="4" w:space="0"/>
              <w:left w:val="single" w:color="auto" w:sz="4" w:space="0"/>
              <w:bottom w:val="single" w:color="auto" w:sz="4" w:space="0"/>
              <w:right w:val="single" w:color="auto" w:sz="4" w:space="0"/>
            </w:tcBorders>
            <w:vAlign w:val="bottom"/>
          </w:tcPr>
          <w:p w14:paraId="1CBCB415">
            <w:pPr>
              <w:spacing w:line="360" w:lineRule="auto"/>
              <w:rPr>
                <w:rFonts w:hint="default" w:ascii="宋体" w:hAnsi="宋体" w:eastAsia="宋体"/>
                <w:color w:val="auto"/>
                <w:sz w:val="22"/>
                <w:lang w:val="en-US" w:eastAsia="zh-CN"/>
              </w:rPr>
            </w:pPr>
          </w:p>
        </w:tc>
      </w:tr>
      <w:tr w14:paraId="101BB31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4364EA2">
            <w:pPr>
              <w:spacing w:line="360" w:lineRule="auto"/>
              <w:rPr>
                <w:rFonts w:ascii="宋体" w:hAnsi="宋体" w:eastAsia="宋体"/>
                <w:b/>
                <w:bCs/>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D8A55CC">
            <w:pPr>
              <w:spacing w:line="360" w:lineRule="auto"/>
              <w:jc w:val="center"/>
              <w:rPr>
                <w:rFonts w:ascii="宋体" w:hAnsi="宋体" w:eastAsia="宋体"/>
                <w:color w:val="auto"/>
                <w:sz w:val="22"/>
              </w:rPr>
            </w:pPr>
            <w:r>
              <w:rPr>
                <w:rFonts w:hint="eastAsia" w:ascii="宋体" w:hAnsi="宋体" w:eastAsia="宋体"/>
                <w:color w:val="auto"/>
                <w:sz w:val="22"/>
              </w:rPr>
              <w:t>经济类型</w:t>
            </w:r>
          </w:p>
        </w:tc>
        <w:tc>
          <w:tcPr>
            <w:tcW w:w="2358" w:type="dxa"/>
            <w:gridSpan w:val="4"/>
            <w:tcBorders>
              <w:top w:val="single" w:color="auto" w:sz="4" w:space="0"/>
              <w:left w:val="single" w:color="auto" w:sz="4" w:space="0"/>
              <w:bottom w:val="single" w:color="auto" w:sz="4" w:space="0"/>
              <w:right w:val="single" w:color="auto" w:sz="4" w:space="0"/>
            </w:tcBorders>
            <w:vAlign w:val="bottom"/>
          </w:tcPr>
          <w:p w14:paraId="5E54F35D">
            <w:pPr>
              <w:spacing w:line="360" w:lineRule="auto"/>
              <w:rPr>
                <w:rFonts w:hint="default" w:ascii="宋体" w:hAnsi="宋体" w:eastAsia="宋体"/>
                <w:color w:val="auto"/>
                <w:sz w:val="22"/>
                <w:lang w:val="en-US" w:eastAsia="zh-CN"/>
              </w:rPr>
            </w:pPr>
          </w:p>
        </w:tc>
        <w:tc>
          <w:tcPr>
            <w:tcW w:w="1770" w:type="dxa"/>
            <w:gridSpan w:val="4"/>
            <w:tcBorders>
              <w:top w:val="single" w:color="auto" w:sz="4" w:space="0"/>
              <w:left w:val="single" w:color="auto" w:sz="4" w:space="0"/>
              <w:bottom w:val="single" w:color="auto" w:sz="4" w:space="0"/>
              <w:right w:val="single" w:color="auto" w:sz="4" w:space="0"/>
            </w:tcBorders>
            <w:vAlign w:val="center"/>
          </w:tcPr>
          <w:p w14:paraId="73159389">
            <w:pPr>
              <w:spacing w:line="360" w:lineRule="auto"/>
              <w:jc w:val="center"/>
              <w:rPr>
                <w:rFonts w:ascii="宋体" w:hAnsi="宋体" w:eastAsia="宋体"/>
                <w:color w:val="auto"/>
                <w:sz w:val="22"/>
              </w:rPr>
            </w:pPr>
            <w:r>
              <w:rPr>
                <w:rFonts w:hint="eastAsia" w:ascii="宋体" w:hAnsi="宋体" w:eastAsia="宋体"/>
                <w:color w:val="auto"/>
                <w:sz w:val="22"/>
              </w:rPr>
              <w:t>法定代表人</w:t>
            </w:r>
          </w:p>
        </w:tc>
        <w:tc>
          <w:tcPr>
            <w:tcW w:w="2259" w:type="dxa"/>
            <w:gridSpan w:val="3"/>
            <w:tcBorders>
              <w:top w:val="single" w:color="auto" w:sz="4" w:space="0"/>
              <w:left w:val="single" w:color="auto" w:sz="4" w:space="0"/>
              <w:bottom w:val="single" w:color="auto" w:sz="4" w:space="0"/>
              <w:right w:val="single" w:color="auto" w:sz="4" w:space="0"/>
            </w:tcBorders>
            <w:vAlign w:val="center"/>
          </w:tcPr>
          <w:p w14:paraId="042CC675">
            <w:pPr>
              <w:spacing w:line="360" w:lineRule="auto"/>
              <w:jc w:val="center"/>
              <w:rPr>
                <w:rFonts w:hint="default" w:ascii="宋体" w:hAnsi="宋体" w:eastAsia="宋体"/>
                <w:color w:val="auto"/>
                <w:sz w:val="22"/>
                <w:lang w:val="en-US" w:eastAsia="zh-CN"/>
              </w:rPr>
            </w:pPr>
          </w:p>
        </w:tc>
      </w:tr>
      <w:tr w14:paraId="762B49BE">
        <w:tblPrEx>
          <w:tblCellMar>
            <w:top w:w="0" w:type="dxa"/>
            <w:left w:w="0" w:type="dxa"/>
            <w:bottom w:w="0" w:type="dxa"/>
            <w:right w:w="0" w:type="dxa"/>
          </w:tblCellMar>
        </w:tblPrEx>
        <w:trPr>
          <w:cantSplit/>
          <w:trHeight w:val="228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30EBA0B">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3E611B5">
            <w:pPr>
              <w:spacing w:line="360" w:lineRule="auto"/>
              <w:jc w:val="center"/>
              <w:rPr>
                <w:rFonts w:ascii="宋体" w:hAnsi="宋体" w:eastAsia="宋体"/>
                <w:color w:val="auto"/>
                <w:sz w:val="22"/>
              </w:rPr>
            </w:pPr>
            <w:r>
              <w:rPr>
                <w:rFonts w:hint="eastAsia" w:ascii="宋体" w:hAnsi="宋体" w:eastAsia="宋体"/>
                <w:color w:val="auto"/>
                <w:sz w:val="22"/>
              </w:rPr>
              <w:t>所属行业</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B8862B7">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工业</w:t>
            </w:r>
            <w:r>
              <w:rPr>
                <w:rFonts w:ascii="宋体" w:hAnsi="宋体" w:eastAsia="宋体"/>
                <w:color w:val="auto"/>
                <w:sz w:val="22"/>
              </w:rPr>
              <w:t xml:space="preserve">  □</w:t>
            </w:r>
            <w:r>
              <w:rPr>
                <w:rFonts w:hint="eastAsia" w:ascii="宋体" w:hAnsi="宋体" w:eastAsia="宋体"/>
                <w:color w:val="auto"/>
                <w:sz w:val="22"/>
              </w:rPr>
              <w:t>建筑业</w:t>
            </w:r>
            <w:r>
              <w:rPr>
                <w:rFonts w:ascii="宋体" w:hAnsi="宋体" w:eastAsia="宋体"/>
                <w:color w:val="auto"/>
                <w:sz w:val="22"/>
              </w:rPr>
              <w:t xml:space="preserve">  □</w:t>
            </w:r>
            <w:r>
              <w:rPr>
                <w:rFonts w:hint="eastAsia" w:ascii="宋体" w:hAnsi="宋体" w:eastAsia="宋体"/>
                <w:color w:val="auto"/>
                <w:sz w:val="22"/>
              </w:rPr>
              <w:t>交通运输业</w:t>
            </w:r>
            <w:r>
              <w:rPr>
                <w:rFonts w:ascii="宋体" w:hAnsi="宋体" w:eastAsia="宋体"/>
                <w:color w:val="auto"/>
                <w:sz w:val="22"/>
              </w:rPr>
              <w:t xml:space="preserve">   □</w:t>
            </w:r>
            <w:r>
              <w:rPr>
                <w:rFonts w:hint="eastAsia" w:ascii="宋体" w:hAnsi="宋体" w:eastAsia="宋体"/>
                <w:color w:val="auto"/>
                <w:sz w:val="22"/>
              </w:rPr>
              <w:t>通信业</w:t>
            </w:r>
            <w:r>
              <w:rPr>
                <w:rFonts w:ascii="宋体" w:hAnsi="宋体" w:eastAsia="宋体"/>
                <w:color w:val="auto"/>
                <w:sz w:val="22"/>
              </w:rPr>
              <w:t xml:space="preserve">  □</w:t>
            </w:r>
            <w:r>
              <w:rPr>
                <w:rFonts w:hint="eastAsia" w:ascii="宋体" w:hAnsi="宋体" w:eastAsia="宋体"/>
                <w:color w:val="auto"/>
                <w:sz w:val="22"/>
              </w:rPr>
              <w:t>贸易业</w:t>
            </w:r>
            <w:r>
              <w:rPr>
                <w:rFonts w:ascii="宋体" w:hAnsi="宋体" w:eastAsia="宋体"/>
                <w:color w:val="auto"/>
                <w:sz w:val="22"/>
              </w:rPr>
              <w:t xml:space="preserve">  </w:t>
            </w:r>
          </w:p>
          <w:p w14:paraId="7ECCAEBB">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地质勘探及水利业</w:t>
            </w:r>
            <w:r>
              <w:rPr>
                <w:rFonts w:ascii="宋体" w:hAnsi="宋体" w:eastAsia="宋体"/>
                <w:color w:val="auto"/>
                <w:sz w:val="22"/>
              </w:rPr>
              <w:t xml:space="preserve">  □</w:t>
            </w:r>
            <w:r>
              <w:rPr>
                <w:rFonts w:hint="eastAsia" w:ascii="宋体" w:hAnsi="宋体" w:eastAsia="宋体"/>
                <w:color w:val="auto"/>
                <w:sz w:val="22"/>
              </w:rPr>
              <w:t>住宿餐饮及旅游业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房地产</w:t>
            </w:r>
            <w:r>
              <w:rPr>
                <w:rFonts w:ascii="宋体" w:hAnsi="宋体" w:eastAsia="宋体"/>
                <w:color w:val="auto"/>
                <w:sz w:val="22"/>
              </w:rPr>
              <w:t xml:space="preserve">  □</w:t>
            </w:r>
            <w:r>
              <w:rPr>
                <w:rFonts w:hint="eastAsia" w:ascii="宋体" w:hAnsi="宋体" w:eastAsia="宋体"/>
                <w:color w:val="auto"/>
                <w:sz w:val="22"/>
              </w:rPr>
              <w:t>金融业</w:t>
            </w:r>
          </w:p>
          <w:p w14:paraId="2B605060">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仓储业</w:t>
            </w:r>
            <w:r>
              <w:rPr>
                <w:rFonts w:ascii="宋体" w:hAnsi="宋体" w:eastAsia="宋体"/>
                <w:color w:val="auto"/>
                <w:sz w:val="22"/>
              </w:rPr>
              <w:t xml:space="preserve">  □</w:t>
            </w:r>
            <w:r>
              <w:rPr>
                <w:rFonts w:hint="eastAsia" w:ascii="宋体" w:hAnsi="宋体" w:eastAsia="宋体"/>
                <w:color w:val="auto"/>
                <w:sz w:val="22"/>
              </w:rPr>
              <w:t>信息技术服务业</w:t>
            </w:r>
            <w:r>
              <w:rPr>
                <w:rFonts w:ascii="宋体" w:hAnsi="宋体" w:eastAsia="宋体"/>
                <w:color w:val="auto"/>
                <w:sz w:val="22"/>
              </w:rPr>
              <w:t xml:space="preserve">  □</w:t>
            </w:r>
            <w:r>
              <w:rPr>
                <w:rFonts w:hint="eastAsia" w:ascii="宋体" w:hAnsi="宋体" w:eastAsia="宋体"/>
                <w:color w:val="auto"/>
                <w:sz w:val="22"/>
              </w:rPr>
              <w:t>农林牧渔业</w:t>
            </w:r>
            <w:r>
              <w:rPr>
                <w:rFonts w:ascii="宋体" w:hAnsi="宋体" w:eastAsia="宋体"/>
                <w:color w:val="auto"/>
                <w:sz w:val="22"/>
              </w:rPr>
              <w:t xml:space="preserve">  □</w:t>
            </w:r>
            <w:r>
              <w:rPr>
                <w:rFonts w:hint="eastAsia" w:ascii="宋体" w:hAnsi="宋体" w:eastAsia="宋体"/>
                <w:color w:val="auto"/>
                <w:sz w:val="22"/>
              </w:rPr>
              <w:t>社会服务业</w:t>
            </w:r>
          </w:p>
          <w:p w14:paraId="28879D36">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科研及技术服务业</w:t>
            </w:r>
            <w:r>
              <w:rPr>
                <w:rFonts w:ascii="宋体" w:hAnsi="宋体" w:eastAsia="宋体"/>
                <w:color w:val="auto"/>
                <w:sz w:val="22"/>
              </w:rPr>
              <w:t xml:space="preserve">  □</w:t>
            </w:r>
            <w:r>
              <w:rPr>
                <w:rFonts w:hint="eastAsia" w:ascii="宋体" w:hAnsi="宋体" w:eastAsia="宋体"/>
                <w:color w:val="auto"/>
                <w:sz w:val="22"/>
              </w:rPr>
              <w:t>教育文化广播业</w:t>
            </w:r>
          </w:p>
          <w:p w14:paraId="3771803E">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其他行业：</w:t>
            </w:r>
            <w:r>
              <w:rPr>
                <w:rFonts w:ascii="宋体" w:hAnsi="宋体" w:eastAsia="宋体"/>
                <w:color w:val="auto"/>
                <w:sz w:val="22"/>
                <w:u w:val="single"/>
              </w:rPr>
              <w:t xml:space="preserve">       </w:t>
            </w:r>
          </w:p>
        </w:tc>
      </w:tr>
      <w:tr w14:paraId="13ABEF9A">
        <w:tblPrEx>
          <w:tblCellMar>
            <w:top w:w="0" w:type="dxa"/>
            <w:left w:w="0" w:type="dxa"/>
            <w:bottom w:w="0" w:type="dxa"/>
            <w:right w:w="0" w:type="dxa"/>
          </w:tblCellMar>
        </w:tblPrEx>
        <w:trPr>
          <w:cantSplit/>
          <w:trHeight w:val="1995"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77640945">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6186BE9E">
            <w:pPr>
              <w:spacing w:line="360" w:lineRule="auto"/>
              <w:jc w:val="center"/>
              <w:rPr>
                <w:rFonts w:ascii="宋体" w:hAnsi="宋体" w:eastAsia="宋体"/>
                <w:color w:val="auto"/>
                <w:sz w:val="22"/>
              </w:rPr>
            </w:pPr>
            <w:r>
              <w:rPr>
                <w:rFonts w:hint="eastAsia" w:ascii="宋体" w:hAnsi="宋体" w:eastAsia="宋体"/>
                <w:color w:val="auto"/>
                <w:sz w:val="22"/>
              </w:rPr>
              <w:t>企业类别</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2C3D5D04">
            <w:pPr>
              <w:spacing w:line="360" w:lineRule="auto"/>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国有独资公司（企业）</w:t>
            </w:r>
            <w:r>
              <w:rPr>
                <w:rFonts w:ascii="宋体" w:hAnsi="宋体" w:eastAsia="宋体"/>
                <w:color w:val="auto"/>
                <w:sz w:val="22"/>
              </w:rPr>
              <w:t xml:space="preserve"> □</w:t>
            </w:r>
            <w:r>
              <w:rPr>
                <w:rFonts w:hint="eastAsia" w:ascii="宋体" w:hAnsi="宋体" w:eastAsia="宋体"/>
                <w:color w:val="auto"/>
                <w:sz w:val="22"/>
              </w:rPr>
              <w:t>国有控股企业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国有参股企业</w:t>
            </w:r>
          </w:p>
          <w:p w14:paraId="356FA01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国有事业单位、社会团体等</w:t>
            </w:r>
            <w:r>
              <w:rPr>
                <w:rFonts w:ascii="宋体" w:hAnsi="宋体" w:eastAsia="宋体"/>
                <w:color w:val="auto"/>
                <w:sz w:val="22"/>
              </w:rPr>
              <w:t xml:space="preserve">  □</w:t>
            </w:r>
            <w:r>
              <w:rPr>
                <w:rFonts w:hint="eastAsia" w:ascii="宋体" w:hAnsi="宋体" w:eastAsia="宋体"/>
                <w:color w:val="auto"/>
                <w:sz w:val="22"/>
              </w:rPr>
              <w:t>内资民营企业</w:t>
            </w:r>
            <w:r>
              <w:rPr>
                <w:rFonts w:ascii="宋体" w:hAnsi="宋体" w:eastAsia="宋体"/>
                <w:color w:val="auto"/>
                <w:sz w:val="22"/>
              </w:rPr>
              <w:t xml:space="preserve">  □</w:t>
            </w:r>
            <w:r>
              <w:rPr>
                <w:rFonts w:hint="eastAsia" w:ascii="宋体" w:hAnsi="宋体" w:eastAsia="宋体"/>
                <w:color w:val="auto"/>
                <w:sz w:val="22"/>
              </w:rPr>
              <w:t>民营社团</w:t>
            </w:r>
          </w:p>
          <w:p w14:paraId="2D591828">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中外合资经营企业</w:t>
            </w:r>
            <w:r>
              <w:rPr>
                <w:rFonts w:ascii="宋体" w:hAnsi="宋体" w:eastAsia="宋体"/>
                <w:color w:val="auto"/>
                <w:sz w:val="22"/>
              </w:rPr>
              <w:t xml:space="preserve">  □</w:t>
            </w:r>
            <w:r>
              <w:rPr>
                <w:rFonts w:hint="eastAsia" w:ascii="宋体" w:hAnsi="宋体" w:eastAsia="宋体"/>
                <w:color w:val="auto"/>
                <w:sz w:val="22"/>
              </w:rPr>
              <w:t>中外合作经营企业</w:t>
            </w:r>
            <w:r>
              <w:rPr>
                <w:rFonts w:ascii="宋体" w:hAnsi="宋体" w:eastAsia="宋体"/>
                <w:color w:val="auto"/>
                <w:sz w:val="22"/>
              </w:rPr>
              <w:t xml:space="preserve">  □</w:t>
            </w:r>
            <w:r>
              <w:rPr>
                <w:rFonts w:hint="eastAsia" w:ascii="宋体" w:hAnsi="宋体" w:eastAsia="宋体"/>
                <w:color w:val="auto"/>
                <w:sz w:val="22"/>
              </w:rPr>
              <w:t>外商独资企业</w:t>
            </w:r>
          </w:p>
          <w:p w14:paraId="5FC54FF4">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其他类别：</w:t>
            </w:r>
            <w:r>
              <w:rPr>
                <w:rFonts w:ascii="宋体" w:hAnsi="宋体" w:eastAsia="宋体"/>
                <w:color w:val="auto"/>
                <w:sz w:val="22"/>
                <w:u w:val="single"/>
              </w:rPr>
              <w:t xml:space="preserve">      </w:t>
            </w:r>
          </w:p>
        </w:tc>
      </w:tr>
      <w:tr w14:paraId="4CFB4E5A">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A775C09">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516387C">
            <w:pPr>
              <w:spacing w:line="360" w:lineRule="auto"/>
              <w:jc w:val="center"/>
              <w:rPr>
                <w:rFonts w:ascii="宋体" w:hAnsi="宋体" w:eastAsia="宋体"/>
                <w:color w:val="auto"/>
                <w:sz w:val="22"/>
              </w:rPr>
            </w:pPr>
            <w:r>
              <w:rPr>
                <w:rFonts w:hint="eastAsia" w:ascii="宋体" w:hAnsi="宋体" w:eastAsia="宋体"/>
                <w:color w:val="auto"/>
                <w:sz w:val="22"/>
              </w:rPr>
              <w:t>企业规模</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0BC468B2">
            <w:pPr>
              <w:spacing w:line="360" w:lineRule="auto"/>
              <w:jc w:val="center"/>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大型</w:t>
            </w:r>
            <w:r>
              <w:rPr>
                <w:rFonts w:ascii="宋体" w:hAnsi="宋体" w:eastAsia="宋体"/>
                <w:color w:val="auto"/>
                <w:sz w:val="22"/>
              </w:rPr>
              <w:t xml:space="preserve">    □</w:t>
            </w:r>
            <w:r>
              <w:rPr>
                <w:rFonts w:hint="eastAsia" w:ascii="宋体" w:hAnsi="宋体" w:eastAsia="宋体"/>
                <w:color w:val="auto"/>
                <w:sz w:val="22"/>
              </w:rPr>
              <w:t>中型</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小型</w:t>
            </w:r>
            <w:r>
              <w:rPr>
                <w:rFonts w:ascii="宋体" w:hAnsi="宋体" w:eastAsia="宋体"/>
                <w:color w:val="auto"/>
                <w:sz w:val="22"/>
              </w:rPr>
              <w:t xml:space="preserve">  </w:t>
            </w:r>
          </w:p>
        </w:tc>
      </w:tr>
      <w:tr w14:paraId="0B28518B">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4E33F647">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28AC36E1">
            <w:pPr>
              <w:spacing w:line="360" w:lineRule="auto"/>
              <w:jc w:val="center"/>
              <w:rPr>
                <w:rFonts w:ascii="宋体" w:hAnsi="宋体" w:eastAsia="宋体"/>
                <w:color w:val="auto"/>
                <w:sz w:val="22"/>
              </w:rPr>
            </w:pPr>
            <w:r>
              <w:rPr>
                <w:rFonts w:hint="eastAsia" w:ascii="宋体" w:hAnsi="宋体" w:eastAsia="宋体"/>
                <w:color w:val="auto"/>
                <w:sz w:val="22"/>
              </w:rPr>
              <w:t>组织机构代码</w:t>
            </w:r>
          </w:p>
        </w:tc>
        <w:tc>
          <w:tcPr>
            <w:tcW w:w="6387" w:type="dxa"/>
            <w:gridSpan w:val="11"/>
            <w:tcBorders>
              <w:top w:val="single" w:color="auto" w:sz="4" w:space="0"/>
              <w:left w:val="single" w:color="auto" w:sz="4" w:space="0"/>
              <w:bottom w:val="single" w:color="auto" w:sz="4" w:space="0"/>
              <w:right w:val="single" w:color="auto" w:sz="4" w:space="0"/>
            </w:tcBorders>
            <w:vAlign w:val="center"/>
          </w:tcPr>
          <w:p w14:paraId="64C177CF">
            <w:pPr>
              <w:spacing w:line="360" w:lineRule="auto"/>
              <w:jc w:val="center"/>
              <w:rPr>
                <w:rFonts w:hint="default" w:ascii="宋体" w:hAnsi="宋体" w:eastAsia="宋体"/>
                <w:color w:val="auto"/>
                <w:sz w:val="22"/>
                <w:lang w:val="en-US" w:eastAsia="zh-CN"/>
              </w:rPr>
            </w:pPr>
          </w:p>
        </w:tc>
      </w:tr>
      <w:tr w14:paraId="6294EB34">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6BA56EC4">
            <w:pPr>
              <w:spacing w:line="360" w:lineRule="auto"/>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382FA720">
            <w:pPr>
              <w:spacing w:line="360" w:lineRule="auto"/>
              <w:jc w:val="center"/>
              <w:rPr>
                <w:rFonts w:ascii="宋体" w:hAnsi="宋体" w:eastAsia="宋体"/>
                <w:color w:val="auto"/>
                <w:sz w:val="22"/>
              </w:rPr>
            </w:pPr>
            <w:r>
              <w:rPr>
                <w:rFonts w:hint="eastAsia" w:ascii="宋体" w:hAnsi="宋体" w:eastAsia="宋体"/>
                <w:color w:val="auto"/>
                <w:sz w:val="22"/>
              </w:rPr>
              <w:t>经营范围</w:t>
            </w:r>
          </w:p>
        </w:tc>
        <w:tc>
          <w:tcPr>
            <w:tcW w:w="6387" w:type="dxa"/>
            <w:gridSpan w:val="11"/>
            <w:tcBorders>
              <w:top w:val="single" w:color="auto" w:sz="4" w:space="0"/>
              <w:left w:val="single" w:color="auto" w:sz="4" w:space="0"/>
              <w:bottom w:val="single" w:color="auto" w:sz="4" w:space="0"/>
              <w:right w:val="single" w:color="auto" w:sz="4" w:space="0"/>
            </w:tcBorders>
            <w:vAlign w:val="bottom"/>
          </w:tcPr>
          <w:p w14:paraId="4946DA70">
            <w:pPr>
              <w:spacing w:line="360" w:lineRule="auto"/>
              <w:rPr>
                <w:rFonts w:hint="default" w:ascii="宋体" w:hAnsi="宋体" w:eastAsia="宋体"/>
                <w:color w:val="auto"/>
                <w:sz w:val="22"/>
                <w:lang w:val="en-US" w:eastAsia="zh-CN"/>
              </w:rPr>
            </w:pPr>
          </w:p>
        </w:tc>
      </w:tr>
      <w:tr w14:paraId="62A6A6D0">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56E8328">
            <w:pPr>
              <w:spacing w:line="360" w:lineRule="auto"/>
              <w:jc w:val="center"/>
              <w:rPr>
                <w:rFonts w:ascii="宋体" w:hAnsi="宋体" w:eastAsia="宋体"/>
                <w:color w:val="auto"/>
                <w:sz w:val="22"/>
              </w:rPr>
            </w:pPr>
          </w:p>
        </w:tc>
        <w:tc>
          <w:tcPr>
            <w:tcW w:w="1520" w:type="dxa"/>
            <w:vMerge w:val="restart"/>
            <w:tcBorders>
              <w:top w:val="single" w:color="auto" w:sz="4" w:space="0"/>
              <w:left w:val="single" w:color="auto" w:sz="4" w:space="0"/>
              <w:bottom w:val="single" w:color="auto" w:sz="4" w:space="0"/>
              <w:right w:val="single" w:color="auto" w:sz="4" w:space="0"/>
            </w:tcBorders>
            <w:vAlign w:val="center"/>
          </w:tcPr>
          <w:p w14:paraId="4B4F1B5E">
            <w:pPr>
              <w:spacing w:line="360" w:lineRule="auto"/>
              <w:jc w:val="center"/>
              <w:rPr>
                <w:rFonts w:ascii="宋体" w:hAnsi="宋体" w:eastAsia="宋体"/>
                <w:color w:val="auto"/>
                <w:sz w:val="22"/>
              </w:rPr>
            </w:pPr>
            <w:r>
              <w:rPr>
                <w:rFonts w:hint="eastAsia" w:ascii="宋体" w:hAnsi="宋体" w:eastAsia="宋体"/>
                <w:color w:val="auto"/>
                <w:sz w:val="22"/>
              </w:rPr>
              <w:t>近期资产状况</w:t>
            </w:r>
          </w:p>
        </w:tc>
        <w:tc>
          <w:tcPr>
            <w:tcW w:w="4053" w:type="dxa"/>
            <w:gridSpan w:val="7"/>
            <w:tcBorders>
              <w:top w:val="single" w:color="auto" w:sz="4" w:space="0"/>
              <w:left w:val="single" w:color="auto" w:sz="4" w:space="0"/>
              <w:bottom w:val="single" w:color="auto" w:sz="4" w:space="0"/>
              <w:right w:val="single" w:color="auto" w:sz="4" w:space="0"/>
            </w:tcBorders>
            <w:vAlign w:val="center"/>
          </w:tcPr>
          <w:p w14:paraId="3C26EA8C">
            <w:pPr>
              <w:spacing w:line="360" w:lineRule="auto"/>
              <w:rPr>
                <w:rFonts w:ascii="宋体" w:hAnsi="宋体" w:eastAsia="宋体"/>
                <w:color w:val="auto"/>
                <w:sz w:val="22"/>
              </w:rPr>
            </w:pPr>
            <w:r>
              <w:rPr>
                <w:rFonts w:hint="eastAsia" w:ascii="宋体" w:hAnsi="宋体" w:eastAsia="宋体"/>
                <w:color w:val="auto"/>
                <w:sz w:val="22"/>
              </w:rPr>
              <w:t>以下数据出自：</w:t>
            </w:r>
            <w:r>
              <w:rPr>
                <w:rFonts w:ascii="宋体" w:hAnsi="宋体" w:eastAsia="宋体"/>
                <w:color w:val="auto"/>
                <w:sz w:val="22"/>
              </w:rPr>
              <w:t>□</w:t>
            </w:r>
            <w:r>
              <w:rPr>
                <w:rFonts w:hint="eastAsia" w:ascii="宋体" w:hAnsi="宋体" w:eastAsia="宋体"/>
                <w:color w:val="auto"/>
                <w:sz w:val="22"/>
              </w:rPr>
              <w:t>审计报告</w:t>
            </w:r>
            <w:r>
              <w:rPr>
                <w:rFonts w:ascii="宋体" w:hAnsi="宋体" w:eastAsia="宋体"/>
                <w:color w:val="auto"/>
                <w:sz w:val="22"/>
              </w:rPr>
              <w:t xml:space="preserve"> □</w:t>
            </w:r>
            <w:r>
              <w:rPr>
                <w:rFonts w:hint="eastAsia" w:ascii="宋体" w:hAnsi="宋体" w:eastAsia="宋体"/>
                <w:color w:val="auto"/>
                <w:sz w:val="22"/>
              </w:rPr>
              <w:t>财务报表</w:t>
            </w:r>
          </w:p>
        </w:tc>
        <w:tc>
          <w:tcPr>
            <w:tcW w:w="2334" w:type="dxa"/>
            <w:gridSpan w:val="4"/>
            <w:tcBorders>
              <w:top w:val="single" w:color="auto" w:sz="4" w:space="0"/>
              <w:left w:val="single" w:color="auto" w:sz="4" w:space="0"/>
              <w:bottom w:val="single" w:color="auto" w:sz="4" w:space="0"/>
              <w:right w:val="single" w:color="auto" w:sz="4" w:space="0"/>
            </w:tcBorders>
            <w:vAlign w:val="center"/>
          </w:tcPr>
          <w:p w14:paraId="2327B084">
            <w:pPr>
              <w:spacing w:line="360" w:lineRule="auto"/>
              <w:ind w:left="48"/>
              <w:rPr>
                <w:rFonts w:ascii="宋体" w:hAnsi="宋体" w:eastAsia="宋体"/>
                <w:color w:val="auto"/>
                <w:sz w:val="22"/>
              </w:rPr>
            </w:pPr>
            <w:r>
              <w:rPr>
                <w:rFonts w:hint="eastAsia" w:ascii="宋体" w:hAnsi="宋体" w:eastAsia="宋体"/>
                <w:color w:val="auto"/>
                <w:sz w:val="22"/>
              </w:rPr>
              <w:t>报表时间：</w:t>
            </w:r>
          </w:p>
        </w:tc>
      </w:tr>
      <w:tr w14:paraId="304C37D7">
        <w:tblPrEx>
          <w:tblCellMar>
            <w:top w:w="0" w:type="dxa"/>
            <w:left w:w="0" w:type="dxa"/>
            <w:bottom w:w="0" w:type="dxa"/>
            <w:right w:w="0" w:type="dxa"/>
          </w:tblCellMar>
        </w:tblPrEx>
        <w:trPr>
          <w:cantSplit/>
          <w:trHeight w:val="410"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3F0C6FDB">
            <w:pPr>
              <w:spacing w:line="360" w:lineRule="auto"/>
              <w:rPr>
                <w:rFonts w:ascii="宋体" w:hAnsi="宋体" w:eastAsia="宋体"/>
                <w:color w:val="auto"/>
                <w:sz w:val="22"/>
              </w:rPr>
            </w:pPr>
          </w:p>
        </w:tc>
        <w:tc>
          <w:tcPr>
            <w:tcW w:w="1520" w:type="dxa"/>
            <w:vMerge w:val="continue"/>
            <w:tcBorders>
              <w:top w:val="single" w:color="auto" w:sz="4" w:space="0"/>
              <w:left w:val="single" w:color="auto" w:sz="4" w:space="0"/>
              <w:bottom w:val="single" w:color="auto" w:sz="4" w:space="0"/>
              <w:right w:val="single" w:color="auto" w:sz="4" w:space="0"/>
            </w:tcBorders>
            <w:vAlign w:val="center"/>
          </w:tcPr>
          <w:p w14:paraId="0D814A49">
            <w:pPr>
              <w:spacing w:line="360" w:lineRule="auto"/>
              <w:jc w:val="center"/>
              <w:rPr>
                <w:rFonts w:ascii="宋体" w:hAnsi="宋体" w:eastAsia="宋体"/>
                <w:color w:val="auto"/>
                <w:sz w:val="22"/>
              </w:rPr>
            </w:pPr>
          </w:p>
        </w:tc>
        <w:tc>
          <w:tcPr>
            <w:tcW w:w="1006" w:type="dxa"/>
            <w:tcBorders>
              <w:top w:val="single" w:color="auto" w:sz="4" w:space="0"/>
              <w:left w:val="single" w:color="auto" w:sz="4" w:space="0"/>
              <w:bottom w:val="single" w:color="auto" w:sz="4" w:space="0"/>
              <w:right w:val="single" w:color="auto" w:sz="4" w:space="0"/>
            </w:tcBorders>
            <w:vAlign w:val="center"/>
          </w:tcPr>
          <w:p w14:paraId="0CB0AEFE">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总资产</w:t>
            </w:r>
          </w:p>
          <w:p w14:paraId="7F73691B">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12" w:type="dxa"/>
            <w:gridSpan w:val="2"/>
            <w:tcBorders>
              <w:top w:val="single" w:color="auto" w:sz="4" w:space="0"/>
              <w:left w:val="single" w:color="auto" w:sz="4" w:space="0"/>
              <w:bottom w:val="single" w:color="auto" w:sz="4" w:space="0"/>
              <w:right w:val="single" w:color="auto" w:sz="4" w:space="0"/>
            </w:tcBorders>
            <w:vAlign w:val="center"/>
          </w:tcPr>
          <w:p w14:paraId="1354DDE2">
            <w:pPr>
              <w:pStyle w:val="17"/>
              <w:spacing w:line="360" w:lineRule="auto"/>
              <w:jc w:val="center"/>
              <w:rPr>
                <w:color w:val="auto"/>
              </w:rPr>
            </w:pPr>
          </w:p>
          <w:p w14:paraId="3C21507E">
            <w:pPr>
              <w:rPr>
                <w:color w:val="auto"/>
              </w:rPr>
            </w:pPr>
          </w:p>
        </w:tc>
        <w:tc>
          <w:tcPr>
            <w:tcW w:w="795" w:type="dxa"/>
            <w:gridSpan w:val="3"/>
            <w:tcBorders>
              <w:top w:val="single" w:color="auto" w:sz="4" w:space="0"/>
              <w:left w:val="single" w:color="auto" w:sz="4" w:space="0"/>
              <w:bottom w:val="single" w:color="auto" w:sz="4" w:space="0"/>
              <w:right w:val="single" w:color="auto" w:sz="4" w:space="0"/>
            </w:tcBorders>
            <w:vAlign w:val="center"/>
          </w:tcPr>
          <w:p w14:paraId="293E78DA">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总负债</w:t>
            </w: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140" w:type="dxa"/>
            <w:tcBorders>
              <w:top w:val="single" w:color="auto" w:sz="4" w:space="0"/>
              <w:left w:val="single" w:color="auto" w:sz="4" w:space="0"/>
              <w:bottom w:val="single" w:color="auto" w:sz="4" w:space="0"/>
              <w:right w:val="single" w:color="auto" w:sz="4" w:space="0"/>
            </w:tcBorders>
            <w:vAlign w:val="center"/>
          </w:tcPr>
          <w:p w14:paraId="0A4F813B">
            <w:pPr>
              <w:pStyle w:val="17"/>
              <w:spacing w:line="360" w:lineRule="auto"/>
              <w:jc w:val="center"/>
              <w:rPr>
                <w:color w:val="auto"/>
              </w:rPr>
            </w:pPr>
          </w:p>
          <w:p w14:paraId="27472E59">
            <w:pPr>
              <w:pStyle w:val="8"/>
              <w:rPr>
                <w:color w:val="auto"/>
              </w:rPr>
            </w:pPr>
          </w:p>
        </w:tc>
        <w:tc>
          <w:tcPr>
            <w:tcW w:w="1005" w:type="dxa"/>
            <w:gridSpan w:val="3"/>
            <w:tcBorders>
              <w:top w:val="single" w:color="auto" w:sz="4" w:space="0"/>
              <w:left w:val="single" w:color="auto" w:sz="4" w:space="0"/>
              <w:bottom w:val="single" w:color="auto" w:sz="4" w:space="0"/>
              <w:right w:val="single" w:color="auto" w:sz="4" w:space="0"/>
            </w:tcBorders>
            <w:vAlign w:val="center"/>
          </w:tcPr>
          <w:p w14:paraId="2A870B78">
            <w:pPr>
              <w:pStyle w:val="17"/>
              <w:spacing w:line="360" w:lineRule="auto"/>
              <w:jc w:val="center"/>
              <w:rPr>
                <w:rFonts w:ascii="宋体" w:hAnsi="宋体" w:eastAsia="宋体"/>
                <w:color w:val="auto"/>
                <w:sz w:val="22"/>
                <w:szCs w:val="24"/>
              </w:rPr>
            </w:pPr>
            <w:r>
              <w:rPr>
                <w:rFonts w:hint="eastAsia" w:ascii="宋体" w:hAnsi="宋体" w:eastAsia="宋体"/>
                <w:color w:val="auto"/>
                <w:sz w:val="22"/>
                <w:szCs w:val="24"/>
              </w:rPr>
              <w:t>净资产</w:t>
            </w:r>
          </w:p>
          <w:p w14:paraId="30989F52">
            <w:pPr>
              <w:pStyle w:val="17"/>
              <w:spacing w:line="360" w:lineRule="auto"/>
              <w:jc w:val="center"/>
              <w:rPr>
                <w:rFonts w:ascii="宋体" w:hAnsi="宋体" w:eastAsia="宋体"/>
                <w:color w:val="auto"/>
                <w:sz w:val="22"/>
                <w:szCs w:val="24"/>
              </w:rPr>
            </w:pPr>
            <w:r>
              <w:rPr>
                <w:rFonts w:ascii="宋体" w:hAnsi="宋体" w:eastAsia="宋体"/>
                <w:color w:val="auto"/>
                <w:sz w:val="22"/>
                <w:szCs w:val="24"/>
              </w:rPr>
              <w:t>(</w:t>
            </w:r>
            <w:r>
              <w:rPr>
                <w:rFonts w:hint="eastAsia" w:ascii="宋体" w:hAnsi="宋体" w:eastAsia="宋体"/>
                <w:color w:val="auto"/>
                <w:sz w:val="22"/>
                <w:szCs w:val="24"/>
              </w:rPr>
              <w:t>万元</w:t>
            </w:r>
            <w:r>
              <w:rPr>
                <w:rFonts w:ascii="宋体" w:hAnsi="宋体" w:eastAsia="宋体"/>
                <w:color w:val="auto"/>
                <w:sz w:val="22"/>
                <w:szCs w:val="24"/>
              </w:rPr>
              <w:t>)</w:t>
            </w:r>
          </w:p>
        </w:tc>
        <w:tc>
          <w:tcPr>
            <w:tcW w:w="1329" w:type="dxa"/>
            <w:tcBorders>
              <w:top w:val="single" w:color="auto" w:sz="4" w:space="0"/>
              <w:left w:val="single" w:color="auto" w:sz="4" w:space="0"/>
              <w:bottom w:val="single" w:color="auto" w:sz="4" w:space="0"/>
              <w:right w:val="single" w:color="auto" w:sz="4" w:space="0"/>
            </w:tcBorders>
            <w:vAlign w:val="center"/>
          </w:tcPr>
          <w:p w14:paraId="37836BE9">
            <w:pPr>
              <w:pStyle w:val="17"/>
              <w:spacing w:line="360" w:lineRule="auto"/>
              <w:jc w:val="center"/>
              <w:rPr>
                <w:rFonts w:ascii="宋体" w:hAnsi="宋体" w:eastAsia="宋体"/>
                <w:color w:val="auto"/>
                <w:sz w:val="22"/>
                <w:szCs w:val="24"/>
              </w:rPr>
            </w:pPr>
          </w:p>
        </w:tc>
      </w:tr>
      <w:tr w14:paraId="1999FF23">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12A6CB4">
            <w:pPr>
              <w:spacing w:line="360" w:lineRule="auto"/>
              <w:jc w:val="center"/>
              <w:rPr>
                <w:rFonts w:ascii="宋体" w:hAnsi="宋体" w:eastAsia="宋体"/>
                <w:color w:val="auto"/>
                <w:sz w:val="22"/>
              </w:rPr>
            </w:pP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0F71C92">
            <w:pPr>
              <w:spacing w:line="360" w:lineRule="auto"/>
              <w:jc w:val="center"/>
              <w:rPr>
                <w:rFonts w:ascii="宋体" w:hAnsi="宋体" w:eastAsia="宋体"/>
                <w:color w:val="auto"/>
                <w:sz w:val="22"/>
              </w:rPr>
            </w:pPr>
            <w:r>
              <w:rPr>
                <w:rFonts w:hint="eastAsia" w:ascii="宋体" w:hAnsi="宋体" w:eastAsia="宋体"/>
                <w:bCs/>
                <w:color w:val="auto"/>
                <w:sz w:val="22"/>
              </w:rPr>
              <w:t>自</w:t>
            </w:r>
            <w:r>
              <w:rPr>
                <w:rFonts w:ascii="宋体" w:hAnsi="宋体" w:eastAsia="宋体"/>
                <w:bCs/>
                <w:color w:val="auto"/>
                <w:sz w:val="22"/>
              </w:rPr>
              <w:t xml:space="preserve"> </w:t>
            </w:r>
            <w:r>
              <w:rPr>
                <w:rFonts w:hint="eastAsia" w:ascii="宋体" w:hAnsi="宋体" w:eastAsia="宋体"/>
                <w:bCs/>
                <w:color w:val="auto"/>
                <w:sz w:val="22"/>
              </w:rPr>
              <w:t>然</w:t>
            </w:r>
            <w:r>
              <w:rPr>
                <w:rFonts w:ascii="宋体" w:hAnsi="宋体" w:eastAsia="宋体"/>
                <w:bCs/>
                <w:color w:val="auto"/>
                <w:sz w:val="22"/>
              </w:rPr>
              <w:t xml:space="preserve"> </w:t>
            </w:r>
            <w:r>
              <w:rPr>
                <w:rFonts w:hint="eastAsia" w:ascii="宋体" w:hAnsi="宋体" w:eastAsia="宋体"/>
                <w:bCs/>
                <w:color w:val="auto"/>
                <w:sz w:val="22"/>
              </w:rPr>
              <w:t>人</w:t>
            </w:r>
          </w:p>
        </w:tc>
      </w:tr>
      <w:tr w14:paraId="164C294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9F225B5">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54550651">
            <w:pPr>
              <w:jc w:val="center"/>
              <w:rPr>
                <w:rFonts w:ascii="宋体" w:hAnsi="宋体" w:eastAsia="宋体"/>
                <w:color w:val="auto"/>
                <w:sz w:val="22"/>
              </w:rPr>
            </w:pPr>
            <w:r>
              <w:rPr>
                <w:rFonts w:hint="eastAsia" w:ascii="宋体" w:hAnsi="宋体" w:eastAsia="宋体"/>
                <w:color w:val="auto"/>
                <w:sz w:val="22"/>
              </w:rPr>
              <w:t>证件名称</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3DB5451A">
            <w:pPr>
              <w:spacing w:line="360" w:lineRule="auto"/>
              <w:jc w:val="center"/>
              <w:rPr>
                <w:rFonts w:hint="eastAsia"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2683E008">
            <w:pPr>
              <w:spacing w:line="360" w:lineRule="auto"/>
              <w:jc w:val="center"/>
              <w:rPr>
                <w:rFonts w:ascii="宋体" w:hAnsi="宋体" w:eastAsia="宋体"/>
                <w:color w:val="auto"/>
                <w:sz w:val="22"/>
              </w:rPr>
            </w:pPr>
            <w:r>
              <w:rPr>
                <w:rFonts w:hint="eastAsia" w:ascii="宋体" w:hAnsi="宋体" w:eastAsia="宋体"/>
                <w:color w:val="auto"/>
                <w:sz w:val="22"/>
              </w:rPr>
              <w:t>证件号码</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30CB1EEA">
            <w:pPr>
              <w:spacing w:line="360" w:lineRule="auto"/>
              <w:jc w:val="center"/>
              <w:rPr>
                <w:rFonts w:hint="default" w:ascii="宋体" w:hAnsi="宋体" w:eastAsia="宋体"/>
                <w:color w:val="auto"/>
                <w:sz w:val="22"/>
                <w:lang w:val="en-US" w:eastAsia="zh-CN"/>
              </w:rPr>
            </w:pPr>
          </w:p>
        </w:tc>
      </w:tr>
      <w:tr w14:paraId="2F9B6332">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03866EA1">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41FB6DEA">
            <w:pPr>
              <w:spacing w:line="360" w:lineRule="auto"/>
              <w:jc w:val="center"/>
              <w:rPr>
                <w:rFonts w:ascii="宋体" w:hAnsi="宋体" w:eastAsia="宋体"/>
                <w:color w:val="auto"/>
                <w:sz w:val="22"/>
              </w:rPr>
            </w:pPr>
            <w:r>
              <w:rPr>
                <w:rFonts w:hint="eastAsia" w:ascii="宋体" w:hAnsi="宋体" w:eastAsia="宋体"/>
                <w:color w:val="auto"/>
                <w:sz w:val="22"/>
              </w:rPr>
              <w:t>工作单位</w:t>
            </w:r>
          </w:p>
        </w:tc>
        <w:tc>
          <w:tcPr>
            <w:tcW w:w="2433" w:type="dxa"/>
            <w:gridSpan w:val="5"/>
            <w:tcBorders>
              <w:top w:val="single" w:color="auto" w:sz="4" w:space="0"/>
              <w:left w:val="single" w:color="auto" w:sz="4" w:space="0"/>
              <w:bottom w:val="single" w:color="auto" w:sz="4" w:space="0"/>
              <w:right w:val="single" w:color="auto" w:sz="4" w:space="0"/>
            </w:tcBorders>
            <w:vAlign w:val="bottom"/>
          </w:tcPr>
          <w:p w14:paraId="673BF0EC">
            <w:pPr>
              <w:spacing w:line="360" w:lineRule="auto"/>
              <w:rPr>
                <w:rFonts w:hint="default" w:ascii="宋体" w:hAnsi="宋体" w:eastAsia="宋体"/>
                <w:color w:val="auto"/>
                <w:sz w:val="22"/>
                <w:lang w:val="en-US" w:eastAsia="zh-CN"/>
              </w:rPr>
            </w:pPr>
          </w:p>
        </w:tc>
        <w:tc>
          <w:tcPr>
            <w:tcW w:w="1620" w:type="dxa"/>
            <w:gridSpan w:val="2"/>
            <w:tcBorders>
              <w:top w:val="single" w:color="auto" w:sz="4" w:space="0"/>
              <w:left w:val="single" w:color="auto" w:sz="4" w:space="0"/>
              <w:bottom w:val="single" w:color="auto" w:sz="4" w:space="0"/>
              <w:right w:val="single" w:color="auto" w:sz="4" w:space="0"/>
            </w:tcBorders>
            <w:vAlign w:val="center"/>
          </w:tcPr>
          <w:p w14:paraId="588BA457">
            <w:pPr>
              <w:spacing w:line="360" w:lineRule="auto"/>
              <w:jc w:val="center"/>
              <w:rPr>
                <w:rFonts w:ascii="宋体" w:hAnsi="宋体" w:eastAsia="宋体"/>
                <w:color w:val="auto"/>
                <w:sz w:val="22"/>
              </w:rPr>
            </w:pPr>
            <w:r>
              <w:rPr>
                <w:rFonts w:hint="eastAsia" w:ascii="宋体" w:hAnsi="宋体" w:eastAsia="宋体"/>
                <w:color w:val="auto"/>
                <w:sz w:val="22"/>
              </w:rPr>
              <w:t>职务</w:t>
            </w:r>
          </w:p>
        </w:tc>
        <w:tc>
          <w:tcPr>
            <w:tcW w:w="2334" w:type="dxa"/>
            <w:gridSpan w:val="4"/>
            <w:tcBorders>
              <w:top w:val="single" w:color="auto" w:sz="4" w:space="0"/>
              <w:left w:val="single" w:color="auto" w:sz="4" w:space="0"/>
              <w:bottom w:val="single" w:color="auto" w:sz="4" w:space="0"/>
              <w:right w:val="single" w:color="auto" w:sz="4" w:space="0"/>
            </w:tcBorders>
            <w:vAlign w:val="bottom"/>
          </w:tcPr>
          <w:p w14:paraId="560419F8">
            <w:pPr>
              <w:spacing w:line="360" w:lineRule="auto"/>
              <w:jc w:val="center"/>
              <w:rPr>
                <w:rFonts w:hint="default" w:ascii="宋体" w:hAnsi="宋体" w:eastAsia="宋体"/>
                <w:color w:val="auto"/>
                <w:sz w:val="22"/>
                <w:lang w:val="en-US" w:eastAsia="zh-CN"/>
              </w:rPr>
            </w:pPr>
          </w:p>
        </w:tc>
      </w:tr>
      <w:tr w14:paraId="3AB1910E">
        <w:tblPrEx>
          <w:tblCellMar>
            <w:top w:w="0" w:type="dxa"/>
            <w:left w:w="0" w:type="dxa"/>
            <w:bottom w:w="0" w:type="dxa"/>
            <w:right w:w="0" w:type="dxa"/>
          </w:tblCellMar>
        </w:tblPrEx>
        <w:trPr>
          <w:cantSplit/>
          <w:trHeight w:val="567" w:hRule="atLeast"/>
          <w:jc w:val="center"/>
        </w:trPr>
        <w:tc>
          <w:tcPr>
            <w:tcW w:w="1413" w:type="dxa"/>
            <w:vMerge w:val="continue"/>
            <w:tcBorders>
              <w:top w:val="single" w:color="auto" w:sz="4" w:space="0"/>
              <w:left w:val="single" w:color="auto" w:sz="4" w:space="0"/>
              <w:bottom w:val="single" w:color="auto" w:sz="4" w:space="0"/>
              <w:right w:val="single" w:color="auto" w:sz="4" w:space="0"/>
            </w:tcBorders>
            <w:vAlign w:val="center"/>
          </w:tcPr>
          <w:p w14:paraId="2FC19D9A">
            <w:pPr>
              <w:spacing w:line="360" w:lineRule="auto"/>
              <w:jc w:val="center"/>
              <w:rPr>
                <w:rFonts w:ascii="宋体" w:hAnsi="宋体" w:eastAsia="宋体"/>
                <w:color w:val="auto"/>
                <w:sz w:val="22"/>
              </w:rPr>
            </w:pPr>
          </w:p>
        </w:tc>
        <w:tc>
          <w:tcPr>
            <w:tcW w:w="1520" w:type="dxa"/>
            <w:tcBorders>
              <w:top w:val="single" w:color="auto" w:sz="4" w:space="0"/>
              <w:left w:val="nil"/>
              <w:bottom w:val="single" w:color="auto" w:sz="4" w:space="0"/>
              <w:right w:val="single" w:color="auto" w:sz="4" w:space="0"/>
            </w:tcBorders>
            <w:vAlign w:val="center"/>
          </w:tcPr>
          <w:p w14:paraId="6CEE68B1">
            <w:pPr>
              <w:spacing w:line="360" w:lineRule="auto"/>
              <w:jc w:val="center"/>
              <w:rPr>
                <w:rFonts w:ascii="宋体" w:hAnsi="宋体" w:eastAsia="宋体"/>
                <w:color w:val="auto"/>
                <w:sz w:val="22"/>
              </w:rPr>
            </w:pPr>
            <w:r>
              <w:rPr>
                <w:rFonts w:hint="eastAsia" w:ascii="宋体" w:hAnsi="宋体" w:eastAsia="宋体"/>
                <w:color w:val="auto"/>
                <w:sz w:val="22"/>
              </w:rPr>
              <w:t>资金来源</w:t>
            </w:r>
          </w:p>
        </w:tc>
        <w:tc>
          <w:tcPr>
            <w:tcW w:w="6387" w:type="dxa"/>
            <w:gridSpan w:val="11"/>
            <w:tcBorders>
              <w:top w:val="single" w:color="auto" w:sz="4" w:space="0"/>
              <w:left w:val="nil"/>
              <w:bottom w:val="single" w:color="auto" w:sz="4" w:space="0"/>
              <w:right w:val="single" w:color="auto" w:sz="4" w:space="0"/>
            </w:tcBorders>
            <w:vAlign w:val="center"/>
          </w:tcPr>
          <w:p w14:paraId="1EAED925">
            <w:pPr>
              <w:spacing w:line="360" w:lineRule="auto"/>
              <w:jc w:val="left"/>
              <w:rPr>
                <w:rFonts w:ascii="宋体" w:hAnsi="宋体" w:eastAsia="宋体"/>
                <w:color w:val="auto"/>
                <w:sz w:val="22"/>
              </w:rPr>
            </w:pP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自有</w:t>
            </w:r>
            <w:r>
              <w:rPr>
                <w:rFonts w:ascii="宋体" w:hAnsi="宋体" w:eastAsia="宋体"/>
                <w:color w:val="auto"/>
                <w:sz w:val="22"/>
              </w:rPr>
              <w:t xml:space="preserve">          □</w:t>
            </w:r>
            <w:r>
              <w:rPr>
                <w:rFonts w:hint="eastAsia" w:ascii="宋体" w:hAnsi="宋体" w:eastAsia="宋体"/>
                <w:color w:val="auto"/>
                <w:sz w:val="22"/>
              </w:rPr>
              <w:t>融资</w:t>
            </w:r>
            <w:r>
              <w:rPr>
                <w:rFonts w:ascii="宋体" w:hAnsi="宋体" w:eastAsia="宋体"/>
                <w:color w:val="auto"/>
                <w:sz w:val="22"/>
              </w:rPr>
              <w:t xml:space="preserve">         □</w:t>
            </w:r>
            <w:r>
              <w:rPr>
                <w:rFonts w:hint="eastAsia" w:ascii="宋体" w:hAnsi="宋体" w:eastAsia="宋体"/>
                <w:color w:val="auto"/>
                <w:sz w:val="22"/>
              </w:rPr>
              <w:t>其他：</w:t>
            </w:r>
            <w:r>
              <w:rPr>
                <w:rFonts w:ascii="宋体" w:hAnsi="宋体" w:eastAsia="宋体"/>
                <w:color w:val="auto"/>
                <w:sz w:val="22"/>
                <w:u w:val="single"/>
              </w:rPr>
              <w:t xml:space="preserve">             </w:t>
            </w:r>
          </w:p>
        </w:tc>
      </w:tr>
      <w:tr w14:paraId="40AA7770">
        <w:tblPrEx>
          <w:tblCellMar>
            <w:top w:w="0" w:type="dxa"/>
            <w:left w:w="0" w:type="dxa"/>
            <w:bottom w:w="0" w:type="dxa"/>
            <w:right w:w="0" w:type="dxa"/>
          </w:tblCellMar>
        </w:tblPrEx>
        <w:trPr>
          <w:cantSplit/>
          <w:trHeight w:val="804" w:hRule="atLeast"/>
          <w:jc w:val="center"/>
        </w:trPr>
        <w:tc>
          <w:tcPr>
            <w:tcW w:w="1413" w:type="dxa"/>
            <w:tcBorders>
              <w:top w:val="nil"/>
              <w:left w:val="single" w:color="auto" w:sz="4" w:space="0"/>
              <w:bottom w:val="single" w:color="auto" w:sz="4" w:space="0"/>
              <w:right w:val="single" w:color="auto" w:sz="4" w:space="0"/>
            </w:tcBorders>
            <w:vAlign w:val="center"/>
          </w:tcPr>
          <w:p w14:paraId="611C21D1">
            <w:pPr>
              <w:spacing w:line="360" w:lineRule="auto"/>
              <w:jc w:val="center"/>
              <w:rPr>
                <w:rFonts w:ascii="宋体" w:hAnsi="宋体" w:eastAsia="宋体"/>
                <w:bCs/>
                <w:color w:val="auto"/>
                <w:sz w:val="22"/>
              </w:rPr>
            </w:pPr>
            <w:r>
              <w:rPr>
                <w:rFonts w:hint="eastAsia" w:ascii="宋体" w:hAnsi="宋体" w:eastAsia="宋体"/>
                <w:bCs/>
                <w:color w:val="auto"/>
                <w:sz w:val="22"/>
              </w:rPr>
              <w:t>流转用途</w:t>
            </w:r>
          </w:p>
        </w:tc>
        <w:tc>
          <w:tcPr>
            <w:tcW w:w="7907" w:type="dxa"/>
            <w:gridSpan w:val="12"/>
            <w:tcBorders>
              <w:top w:val="single" w:color="auto" w:sz="4" w:space="0"/>
              <w:left w:val="nil"/>
              <w:bottom w:val="single" w:color="auto" w:sz="4" w:space="0"/>
              <w:right w:val="single" w:color="auto" w:sz="4" w:space="0"/>
            </w:tcBorders>
            <w:vAlign w:val="center"/>
          </w:tcPr>
          <w:p w14:paraId="576A4402">
            <w:pPr>
              <w:spacing w:line="360" w:lineRule="auto"/>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粮油生产</w:t>
            </w:r>
            <w:r>
              <w:rPr>
                <w:rFonts w:ascii="宋体" w:hAnsi="宋体" w:eastAsia="宋体"/>
                <w:color w:val="auto"/>
                <w:sz w:val="22"/>
              </w:rPr>
              <w:t xml:space="preserve">  □</w:t>
            </w:r>
            <w:r>
              <w:rPr>
                <w:rFonts w:hint="eastAsia" w:ascii="宋体" w:hAnsi="宋体" w:eastAsia="宋体"/>
                <w:color w:val="auto"/>
                <w:sz w:val="22"/>
              </w:rPr>
              <w:t>畜禽生产</w:t>
            </w:r>
            <w:r>
              <w:rPr>
                <w:rFonts w:ascii="宋体" w:hAnsi="宋体" w:eastAsia="宋体"/>
                <w:color w:val="auto"/>
                <w:sz w:val="22"/>
              </w:rPr>
              <w:t xml:space="preserve">  □</w:t>
            </w:r>
            <w:r>
              <w:rPr>
                <w:rFonts w:hint="eastAsia" w:ascii="宋体" w:hAnsi="宋体" w:eastAsia="宋体"/>
                <w:color w:val="auto"/>
                <w:sz w:val="22"/>
              </w:rPr>
              <w:t>花卉种植</w:t>
            </w:r>
            <w:r>
              <w:rPr>
                <w:rFonts w:ascii="宋体" w:hAnsi="宋体" w:eastAsia="宋体"/>
                <w:color w:val="auto"/>
                <w:sz w:val="22"/>
              </w:rPr>
              <w:t xml:space="preserve">  □</w:t>
            </w:r>
            <w:r>
              <w:rPr>
                <w:rFonts w:hint="eastAsia" w:ascii="宋体" w:hAnsi="宋体" w:eastAsia="宋体"/>
                <w:color w:val="auto"/>
                <w:sz w:val="22"/>
              </w:rPr>
              <w:t>果树种植</w:t>
            </w:r>
            <w:r>
              <w:rPr>
                <w:rFonts w:ascii="宋体" w:hAnsi="宋体" w:eastAsia="宋体"/>
                <w:color w:val="auto"/>
                <w:sz w:val="22"/>
              </w:rPr>
              <w:t xml:space="preserve">  □</w:t>
            </w:r>
            <w:r>
              <w:rPr>
                <w:rFonts w:hint="eastAsia" w:ascii="宋体" w:hAnsi="宋体" w:eastAsia="宋体"/>
                <w:color w:val="auto"/>
                <w:sz w:val="22"/>
              </w:rPr>
              <w:t>茶桑种植</w:t>
            </w:r>
            <w:r>
              <w:rPr>
                <w:rFonts w:ascii="宋体" w:hAnsi="宋体" w:eastAsia="宋体"/>
                <w:color w:val="auto"/>
                <w:sz w:val="22"/>
              </w:rPr>
              <w:t xml:space="preserve">  □</w:t>
            </w:r>
            <w:r>
              <w:rPr>
                <w:rFonts w:hint="eastAsia" w:ascii="宋体" w:hAnsi="宋体" w:eastAsia="宋体"/>
                <w:color w:val="auto"/>
                <w:sz w:val="22"/>
              </w:rPr>
              <w:t>水产养殖</w:t>
            </w:r>
            <w:r>
              <w:rPr>
                <w:rFonts w:ascii="宋体" w:hAnsi="宋体" w:eastAsia="宋体"/>
                <w:color w:val="auto"/>
                <w:sz w:val="22"/>
              </w:rPr>
              <w:t xml:space="preserve"> </w:t>
            </w:r>
          </w:p>
          <w:p w14:paraId="36E7494E">
            <w:pPr>
              <w:spacing w:line="360" w:lineRule="auto"/>
              <w:rPr>
                <w:rFonts w:ascii="宋体" w:hAnsi="宋体" w:eastAsia="宋体"/>
                <w:color w:val="auto"/>
                <w:sz w:val="22"/>
                <w:u w:val="single"/>
              </w:rPr>
            </w:pPr>
            <w:r>
              <w:rPr>
                <w:rFonts w:ascii="宋体" w:hAnsi="宋体" w:eastAsia="宋体"/>
                <w:color w:val="auto"/>
                <w:sz w:val="22"/>
              </w:rPr>
              <w:t>□</w:t>
            </w:r>
            <w:r>
              <w:rPr>
                <w:rFonts w:hint="eastAsia" w:ascii="宋体" w:hAnsi="宋体" w:eastAsia="宋体"/>
                <w:color w:val="auto"/>
                <w:sz w:val="22"/>
              </w:rPr>
              <w:t>林竹种植</w:t>
            </w:r>
            <w:r>
              <w:rPr>
                <w:rFonts w:ascii="宋体" w:hAnsi="宋体" w:eastAsia="宋体"/>
                <w:color w:val="auto"/>
                <w:sz w:val="22"/>
              </w:rPr>
              <w:t xml:space="preserve">  □</w:t>
            </w:r>
            <w:r>
              <w:rPr>
                <w:rFonts w:hint="eastAsia" w:ascii="宋体" w:hAnsi="宋体" w:eastAsia="宋体"/>
                <w:color w:val="auto"/>
                <w:sz w:val="22"/>
              </w:rPr>
              <w:t>中药材种植</w:t>
            </w:r>
            <w:r>
              <w:rPr>
                <w:rFonts w:ascii="宋体" w:hAnsi="宋体" w:eastAsia="宋体"/>
                <w:color w:val="auto"/>
                <w:sz w:val="22"/>
              </w:rPr>
              <w:t xml:space="preserve">  □</w:t>
            </w:r>
            <w:r>
              <w:rPr>
                <w:rFonts w:hint="eastAsia" w:ascii="宋体" w:hAnsi="宋体" w:eastAsia="宋体"/>
                <w:color w:val="auto"/>
                <w:sz w:val="22"/>
              </w:rPr>
              <w:t>休闲观光农业</w:t>
            </w:r>
            <w:r>
              <w:rPr>
                <w:rFonts w:ascii="宋体" w:hAnsi="宋体" w:eastAsia="宋体"/>
                <w:color w:val="auto"/>
                <w:sz w:val="22"/>
              </w:rPr>
              <w:t xml:space="preserve">  </w:t>
            </w:r>
            <w:r>
              <w:rPr>
                <w:rFonts w:hint="eastAsia" w:ascii="宋体" w:hAnsi="宋体" w:eastAsia="宋体"/>
                <w:color w:val="auto"/>
                <w:sz w:val="22"/>
                <w:lang w:eastAsia="zh-CN"/>
              </w:rPr>
              <w:t>□</w:t>
            </w:r>
            <w:r>
              <w:rPr>
                <w:rFonts w:hint="eastAsia" w:ascii="宋体" w:hAnsi="宋体" w:eastAsia="宋体"/>
                <w:color w:val="auto"/>
                <w:sz w:val="22"/>
              </w:rPr>
              <w:t>其他</w:t>
            </w:r>
            <w:r>
              <w:rPr>
                <w:rFonts w:ascii="宋体" w:hAnsi="宋体" w:eastAsia="宋体"/>
                <w:color w:val="auto"/>
                <w:sz w:val="22"/>
                <w:u w:val="single"/>
              </w:rPr>
              <w:t xml:space="preserve">      </w:t>
            </w:r>
            <w:r>
              <w:rPr>
                <w:rFonts w:hint="eastAsia" w:ascii="宋体" w:hAnsi="宋体"/>
                <w:color w:val="auto"/>
                <w:sz w:val="22"/>
                <w:u w:val="single"/>
              </w:rPr>
              <w:t xml:space="preserve">       </w:t>
            </w:r>
          </w:p>
        </w:tc>
      </w:tr>
      <w:tr w14:paraId="660F29F0">
        <w:tblPrEx>
          <w:tblCellMar>
            <w:top w:w="0" w:type="dxa"/>
            <w:left w:w="0" w:type="dxa"/>
            <w:bottom w:w="0" w:type="dxa"/>
            <w:right w:w="0" w:type="dxa"/>
          </w:tblCellMar>
        </w:tblPrEx>
        <w:trPr>
          <w:cantSplit/>
          <w:trHeight w:val="602" w:hRule="atLeast"/>
          <w:jc w:val="center"/>
        </w:trPr>
        <w:tc>
          <w:tcPr>
            <w:tcW w:w="1413" w:type="dxa"/>
            <w:tcBorders>
              <w:top w:val="nil"/>
              <w:left w:val="single" w:color="auto" w:sz="4" w:space="0"/>
              <w:bottom w:val="single" w:color="auto" w:sz="4" w:space="0"/>
              <w:right w:val="single" w:color="auto" w:sz="4" w:space="0"/>
            </w:tcBorders>
            <w:vAlign w:val="center"/>
          </w:tcPr>
          <w:p w14:paraId="7B8A1A44">
            <w:pPr>
              <w:spacing w:line="360" w:lineRule="auto"/>
              <w:jc w:val="center"/>
              <w:rPr>
                <w:rFonts w:ascii="宋体" w:hAnsi="宋体" w:eastAsia="宋体"/>
                <w:color w:val="auto"/>
                <w:sz w:val="22"/>
              </w:rPr>
            </w:pPr>
            <w:r>
              <w:rPr>
                <w:rFonts w:hint="eastAsia" w:ascii="宋体" w:hAnsi="宋体"/>
                <w:bCs/>
                <w:color w:val="auto"/>
                <w:sz w:val="22"/>
              </w:rPr>
              <w:t>承租（受让）</w:t>
            </w:r>
            <w:r>
              <w:rPr>
                <w:rFonts w:hint="eastAsia" w:ascii="宋体" w:hAnsi="宋体" w:eastAsia="宋体"/>
                <w:bCs/>
                <w:color w:val="auto"/>
                <w:sz w:val="22"/>
              </w:rPr>
              <w:t>意向描述</w:t>
            </w:r>
          </w:p>
        </w:tc>
        <w:tc>
          <w:tcPr>
            <w:tcW w:w="7907" w:type="dxa"/>
            <w:gridSpan w:val="12"/>
            <w:tcBorders>
              <w:top w:val="single" w:color="auto" w:sz="4" w:space="0"/>
              <w:left w:val="single" w:color="auto" w:sz="4" w:space="0"/>
              <w:bottom w:val="single" w:color="auto" w:sz="4" w:space="0"/>
              <w:right w:val="single" w:color="auto" w:sz="4" w:space="0"/>
            </w:tcBorders>
            <w:vAlign w:val="center"/>
          </w:tcPr>
          <w:p w14:paraId="529907FE">
            <w:pPr>
              <w:spacing w:line="360" w:lineRule="auto"/>
              <w:rPr>
                <w:rFonts w:hint="eastAsia" w:ascii="宋体" w:hAnsi="宋体" w:eastAsia="宋体"/>
                <w:color w:val="auto"/>
                <w:sz w:val="22"/>
                <w:lang w:val="en-US" w:eastAsia="zh-CN"/>
              </w:rPr>
            </w:pPr>
          </w:p>
        </w:tc>
      </w:tr>
      <w:tr w14:paraId="2B3F7ED8">
        <w:tblPrEx>
          <w:tblCellMar>
            <w:top w:w="0" w:type="dxa"/>
            <w:left w:w="0" w:type="dxa"/>
            <w:bottom w:w="0" w:type="dxa"/>
            <w:right w:w="0" w:type="dxa"/>
          </w:tblCellMar>
        </w:tblPrEx>
        <w:trPr>
          <w:cantSplit/>
          <w:trHeight w:val="232" w:hRule="atLeast"/>
          <w:jc w:val="center"/>
        </w:trPr>
        <w:tc>
          <w:tcPr>
            <w:tcW w:w="1413" w:type="dxa"/>
            <w:vMerge w:val="restart"/>
            <w:tcBorders>
              <w:top w:val="nil"/>
              <w:left w:val="single" w:color="auto" w:sz="4" w:space="0"/>
              <w:right w:val="single" w:color="auto" w:sz="4" w:space="0"/>
            </w:tcBorders>
            <w:vAlign w:val="center"/>
          </w:tcPr>
          <w:p w14:paraId="014B4AC4">
            <w:pPr>
              <w:spacing w:line="360" w:lineRule="auto"/>
              <w:jc w:val="center"/>
              <w:rPr>
                <w:rFonts w:ascii="宋体" w:hAnsi="宋体" w:eastAsia="宋体"/>
                <w:bCs/>
                <w:color w:val="auto"/>
                <w:sz w:val="22"/>
              </w:rPr>
            </w:pPr>
            <w:r>
              <w:rPr>
                <w:rFonts w:hint="eastAsia" w:ascii="宋体" w:hAnsi="宋体" w:eastAsia="宋体"/>
                <w:bCs/>
                <w:color w:val="auto"/>
                <w:sz w:val="22"/>
              </w:rPr>
              <w:t>附件</w:t>
            </w:r>
          </w:p>
          <w:p w14:paraId="7AFDF6A2">
            <w:pPr>
              <w:spacing w:line="360" w:lineRule="auto"/>
              <w:jc w:val="center"/>
              <w:rPr>
                <w:rFonts w:ascii="宋体" w:hAnsi="宋体" w:eastAsia="宋体"/>
                <w:bCs/>
                <w:color w:val="auto"/>
                <w:sz w:val="22"/>
              </w:rPr>
            </w:pPr>
            <w:r>
              <w:rPr>
                <w:rFonts w:hint="eastAsia" w:ascii="宋体" w:hAnsi="宋体" w:eastAsia="宋体"/>
                <w:bCs/>
                <w:color w:val="auto"/>
                <w:sz w:val="22"/>
              </w:rPr>
              <w:t>（附件是否齐全，如齐全，请在相应材料前划</w:t>
            </w:r>
            <w:r>
              <w:rPr>
                <w:rFonts w:ascii="宋体" w:hAnsi="宋体" w:eastAsia="宋体"/>
                <w:bCs/>
                <w:color w:val="auto"/>
                <w:sz w:val="22"/>
              </w:rPr>
              <w:t>√</w:t>
            </w:r>
            <w:r>
              <w:rPr>
                <w:rFonts w:hint="eastAsia" w:ascii="宋体" w:hAnsi="宋体" w:eastAsia="宋体"/>
                <w:bCs/>
                <w:color w:val="auto"/>
                <w:sz w:val="22"/>
              </w:rPr>
              <w:t>）</w:t>
            </w:r>
          </w:p>
        </w:tc>
        <w:tc>
          <w:tcPr>
            <w:tcW w:w="2693" w:type="dxa"/>
            <w:gridSpan w:val="3"/>
            <w:vMerge w:val="restart"/>
            <w:tcBorders>
              <w:top w:val="single" w:color="auto" w:sz="4" w:space="0"/>
              <w:left w:val="single" w:color="auto" w:sz="4" w:space="0"/>
              <w:right w:val="single" w:color="auto" w:sz="4" w:space="0"/>
            </w:tcBorders>
            <w:vAlign w:val="center"/>
          </w:tcPr>
          <w:p w14:paraId="437F5399">
            <w:pPr>
              <w:spacing w:line="360" w:lineRule="auto"/>
              <w:jc w:val="center"/>
              <w:rPr>
                <w:rFonts w:ascii="宋体" w:hAnsi="宋体" w:eastAsia="宋体"/>
                <w:bCs/>
                <w:color w:val="auto"/>
                <w:sz w:val="22"/>
              </w:rPr>
            </w:pPr>
            <w:r>
              <w:rPr>
                <w:rFonts w:hint="eastAsia" w:ascii="宋体" w:hAnsi="宋体" w:eastAsia="宋体"/>
                <w:bCs/>
                <w:color w:val="auto"/>
                <w:sz w:val="22"/>
              </w:rPr>
              <w:t>个人</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0879C80">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自然人身份证复印件</w:t>
            </w:r>
          </w:p>
        </w:tc>
      </w:tr>
      <w:tr w14:paraId="2D7F0DF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79A350E">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5FF7DC65">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AA69D8F">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经办人授权委托书原件</w:t>
            </w:r>
          </w:p>
        </w:tc>
      </w:tr>
      <w:tr w14:paraId="3DD2F56B">
        <w:tblPrEx>
          <w:tblCellMar>
            <w:top w:w="0" w:type="dxa"/>
            <w:left w:w="0" w:type="dxa"/>
            <w:bottom w:w="0" w:type="dxa"/>
            <w:right w:w="0" w:type="dxa"/>
          </w:tblCellMar>
        </w:tblPrEx>
        <w:trPr>
          <w:cantSplit/>
          <w:trHeight w:val="490" w:hRule="atLeast"/>
          <w:jc w:val="center"/>
        </w:trPr>
        <w:tc>
          <w:tcPr>
            <w:tcW w:w="1413" w:type="dxa"/>
            <w:vMerge w:val="continue"/>
            <w:tcBorders>
              <w:left w:val="single" w:color="auto" w:sz="4" w:space="0"/>
              <w:right w:val="single" w:color="auto" w:sz="4" w:space="0"/>
            </w:tcBorders>
            <w:vAlign w:val="center"/>
          </w:tcPr>
          <w:p w14:paraId="407F2B8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3CE6652">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C5D0A52">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78AD47AD">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725A59C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2C92AD1">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E135BA0">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3CDA42D">
            <w:pPr>
              <w:spacing w:line="360" w:lineRule="auto"/>
              <w:jc w:val="left"/>
              <w:rPr>
                <w:rFonts w:ascii="宋体" w:hAnsi="宋体" w:eastAsia="宋体"/>
                <w:bCs/>
                <w:color w:val="auto"/>
                <w:sz w:val="22"/>
              </w:rPr>
            </w:pPr>
            <w:r>
              <w:rPr>
                <w:rFonts w:hint="eastAsia" w:ascii="宋体" w:hAnsi="宋体" w:eastAsia="宋体"/>
                <w:color w:val="auto"/>
                <w:sz w:val="22"/>
                <w:lang w:eastAsia="zh-CN"/>
              </w:rPr>
              <w:t>□</w:t>
            </w:r>
            <w:r>
              <w:rPr>
                <w:rFonts w:hint="eastAsia" w:ascii="宋体" w:hAnsi="宋体" w:eastAsia="宋体"/>
                <w:bCs/>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0DA61CB9">
            <w:pPr>
              <w:spacing w:line="360" w:lineRule="auto"/>
              <w:jc w:val="left"/>
              <w:rPr>
                <w:rFonts w:ascii="宋体" w:hAnsi="宋体" w:eastAsia="宋体"/>
                <w:color w:val="auto"/>
                <w:sz w:val="22"/>
              </w:rPr>
            </w:pPr>
          </w:p>
        </w:tc>
      </w:tr>
      <w:tr w14:paraId="14039FF1">
        <w:tblPrEx>
          <w:tblCellMar>
            <w:top w:w="0" w:type="dxa"/>
            <w:left w:w="0" w:type="dxa"/>
            <w:bottom w:w="0" w:type="dxa"/>
            <w:right w:w="0" w:type="dxa"/>
          </w:tblCellMar>
        </w:tblPrEx>
        <w:trPr>
          <w:cantSplit/>
          <w:trHeight w:val="70" w:hRule="atLeast"/>
          <w:jc w:val="center"/>
        </w:trPr>
        <w:tc>
          <w:tcPr>
            <w:tcW w:w="1413" w:type="dxa"/>
            <w:vMerge w:val="continue"/>
            <w:tcBorders>
              <w:left w:val="single" w:color="auto" w:sz="4" w:space="0"/>
              <w:right w:val="single" w:color="auto" w:sz="4" w:space="0"/>
            </w:tcBorders>
            <w:vAlign w:val="center"/>
          </w:tcPr>
          <w:p w14:paraId="3924D81D">
            <w:pPr>
              <w:spacing w:line="360" w:lineRule="auto"/>
              <w:jc w:val="center"/>
              <w:rPr>
                <w:rFonts w:ascii="宋体" w:hAnsi="宋体" w:eastAsia="宋体"/>
                <w:bCs/>
                <w:color w:val="auto"/>
                <w:sz w:val="22"/>
              </w:rPr>
            </w:pPr>
          </w:p>
        </w:tc>
        <w:tc>
          <w:tcPr>
            <w:tcW w:w="2693" w:type="dxa"/>
            <w:gridSpan w:val="3"/>
            <w:vMerge w:val="continue"/>
            <w:tcBorders>
              <w:left w:val="single" w:color="auto" w:sz="4" w:space="0"/>
              <w:bottom w:val="single" w:color="auto" w:sz="4" w:space="0"/>
              <w:right w:val="single" w:color="auto" w:sz="4" w:space="0"/>
            </w:tcBorders>
            <w:vAlign w:val="center"/>
          </w:tcPr>
          <w:p w14:paraId="5CB23923">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DACA2AD">
            <w:pPr>
              <w:spacing w:line="360" w:lineRule="auto"/>
              <w:jc w:val="left"/>
              <w:rPr>
                <w:rFonts w:ascii="宋体" w:hAnsi="宋体" w:eastAsia="宋体"/>
                <w:color w:val="auto"/>
                <w:sz w:val="22"/>
              </w:rPr>
            </w:pPr>
            <w:r>
              <w:rPr>
                <w:rFonts w:hint="eastAsia" w:ascii="宋体" w:hAnsi="宋体" w:eastAsia="宋体"/>
                <w:color w:val="auto"/>
                <w:sz w:val="22"/>
                <w:lang w:eastAsia="zh-CN"/>
              </w:rPr>
              <w:t>□</w:t>
            </w:r>
            <w:r>
              <w:rPr>
                <w:rFonts w:hint="eastAsia" w:ascii="宋体" w:hAnsi="宋体" w:eastAsia="宋体"/>
                <w:color w:val="auto"/>
                <w:sz w:val="22"/>
              </w:rPr>
              <w:t>打款证明</w:t>
            </w:r>
            <w:bookmarkStart w:id="34" w:name="OLE_LINK12"/>
            <w:r>
              <w:rPr>
                <w:rFonts w:hint="eastAsia" w:ascii="宋体" w:hAnsi="宋体" w:eastAsia="宋体"/>
                <w:color w:val="auto"/>
                <w:sz w:val="22"/>
              </w:rPr>
              <w:t>（备注项目编号）</w:t>
            </w:r>
            <w:bookmarkEnd w:id="34"/>
          </w:p>
        </w:tc>
        <w:tc>
          <w:tcPr>
            <w:tcW w:w="1710" w:type="dxa"/>
            <w:gridSpan w:val="2"/>
            <w:vMerge w:val="continue"/>
            <w:tcBorders>
              <w:left w:val="single" w:color="auto" w:sz="4" w:space="0"/>
              <w:bottom w:val="single" w:color="auto" w:sz="4" w:space="0"/>
              <w:right w:val="single" w:color="auto" w:sz="4" w:space="0"/>
            </w:tcBorders>
            <w:vAlign w:val="center"/>
          </w:tcPr>
          <w:p w14:paraId="1DFDD031">
            <w:pPr>
              <w:spacing w:line="360" w:lineRule="auto"/>
              <w:jc w:val="left"/>
              <w:rPr>
                <w:rFonts w:ascii="宋体" w:hAnsi="宋体" w:eastAsia="宋体"/>
                <w:color w:val="auto"/>
                <w:sz w:val="22"/>
              </w:rPr>
            </w:pPr>
          </w:p>
        </w:tc>
      </w:tr>
      <w:tr w14:paraId="1E4678E7">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AECF59F">
            <w:pPr>
              <w:spacing w:line="360" w:lineRule="auto"/>
              <w:jc w:val="center"/>
              <w:rPr>
                <w:rFonts w:ascii="宋体" w:hAnsi="宋体" w:eastAsia="宋体"/>
                <w:color w:val="auto"/>
                <w:sz w:val="22"/>
              </w:rPr>
            </w:pPr>
          </w:p>
        </w:tc>
        <w:tc>
          <w:tcPr>
            <w:tcW w:w="2693" w:type="dxa"/>
            <w:gridSpan w:val="3"/>
            <w:vMerge w:val="restart"/>
            <w:tcBorders>
              <w:top w:val="single" w:color="auto" w:sz="4" w:space="0"/>
              <w:left w:val="single" w:color="auto" w:sz="4" w:space="0"/>
              <w:right w:val="single" w:color="auto" w:sz="4" w:space="0"/>
            </w:tcBorders>
            <w:vAlign w:val="center"/>
          </w:tcPr>
          <w:p w14:paraId="68F22406">
            <w:pPr>
              <w:spacing w:line="360" w:lineRule="auto"/>
              <w:jc w:val="center"/>
              <w:rPr>
                <w:rFonts w:ascii="宋体" w:hAnsi="宋体" w:eastAsia="宋体"/>
                <w:bCs/>
                <w:color w:val="auto"/>
                <w:sz w:val="22"/>
              </w:rPr>
            </w:pPr>
            <w:r>
              <w:rPr>
                <w:rFonts w:hint="eastAsia" w:ascii="宋体" w:hAnsi="宋体" w:eastAsia="宋体"/>
                <w:bCs/>
                <w:color w:val="auto"/>
                <w:sz w:val="22"/>
              </w:rPr>
              <w:t>法人单位</w:t>
            </w:r>
          </w:p>
          <w:p w14:paraId="4D5E19A7">
            <w:pPr>
              <w:spacing w:line="360" w:lineRule="auto"/>
              <w:jc w:val="center"/>
              <w:rPr>
                <w:rFonts w:ascii="宋体" w:hAnsi="宋体" w:eastAsia="宋体"/>
                <w:bCs/>
                <w:color w:val="auto"/>
                <w:sz w:val="22"/>
              </w:rPr>
            </w:pPr>
            <w:r>
              <w:rPr>
                <w:rFonts w:hint="eastAsia" w:ascii="宋体" w:hAnsi="宋体" w:eastAsia="宋体"/>
                <w:bCs/>
                <w:color w:val="auto"/>
                <w:sz w:val="22"/>
              </w:rPr>
              <w:t>（如农业企业，</w:t>
            </w:r>
          </w:p>
          <w:p w14:paraId="0B1FD520">
            <w:pPr>
              <w:spacing w:line="360" w:lineRule="auto"/>
              <w:jc w:val="center"/>
              <w:rPr>
                <w:rFonts w:ascii="宋体" w:hAnsi="宋体" w:eastAsia="宋体"/>
                <w:bCs/>
                <w:color w:val="auto"/>
                <w:sz w:val="22"/>
              </w:rPr>
            </w:pPr>
            <w:r>
              <w:rPr>
                <w:rFonts w:hint="eastAsia" w:ascii="宋体" w:hAnsi="宋体" w:eastAsia="宋体"/>
                <w:bCs/>
                <w:color w:val="auto"/>
                <w:sz w:val="22"/>
              </w:rPr>
              <w:t>农民专业合作社）</w:t>
            </w: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4883F681">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营业执照副本复印件（盖章，注明与原件一致）</w:t>
            </w:r>
          </w:p>
        </w:tc>
      </w:tr>
      <w:tr w14:paraId="5CEA1AE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0668B69B">
            <w:pPr>
              <w:spacing w:line="360" w:lineRule="auto"/>
              <w:jc w:val="center"/>
              <w:rPr>
                <w:rFonts w:ascii="宋体" w:hAnsi="宋体" w:eastAsia="宋体"/>
                <w:color w:val="auto"/>
                <w:sz w:val="22"/>
              </w:rPr>
            </w:pPr>
          </w:p>
        </w:tc>
        <w:tc>
          <w:tcPr>
            <w:tcW w:w="2693" w:type="dxa"/>
            <w:gridSpan w:val="3"/>
            <w:vMerge w:val="continue"/>
            <w:tcBorders>
              <w:left w:val="single" w:color="auto" w:sz="4" w:space="0"/>
              <w:right w:val="single" w:color="auto" w:sz="4" w:space="0"/>
            </w:tcBorders>
            <w:vAlign w:val="center"/>
          </w:tcPr>
          <w:p w14:paraId="00300C30">
            <w:pPr>
              <w:spacing w:line="360" w:lineRule="auto"/>
              <w:jc w:val="center"/>
              <w:rPr>
                <w:rFonts w:ascii="宋体" w:hAnsi="宋体" w:eastAsia="宋体"/>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74428247">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机构代码证复印件（盖章，注明与原件一致）</w:t>
            </w:r>
          </w:p>
        </w:tc>
      </w:tr>
      <w:tr w14:paraId="3F452D56">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52E7080">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6EB1089">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0772527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法定代表人身份证复印件</w:t>
            </w:r>
          </w:p>
        </w:tc>
      </w:tr>
      <w:tr w14:paraId="0817A991">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E93E732">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26C99D61">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2963B8A2">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经办人授权委托书原件（由法人单位出具）</w:t>
            </w:r>
          </w:p>
        </w:tc>
      </w:tr>
      <w:tr w14:paraId="7175AACA">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2D278F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6F34812F">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58BFBF8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合作社章程</w:t>
            </w:r>
            <w:r>
              <w:rPr>
                <w:rFonts w:ascii="宋体" w:hAnsi="宋体" w:eastAsia="宋体"/>
                <w:color w:val="auto"/>
                <w:sz w:val="22"/>
              </w:rPr>
              <w:t>/</w:t>
            </w:r>
            <w:r>
              <w:rPr>
                <w:rFonts w:hint="eastAsia" w:ascii="宋体" w:hAnsi="宋体" w:eastAsia="宋体"/>
                <w:color w:val="auto"/>
                <w:sz w:val="22"/>
              </w:rPr>
              <w:t>公司章程（封面盖章，骑缝盖章）</w:t>
            </w:r>
          </w:p>
        </w:tc>
      </w:tr>
      <w:tr w14:paraId="3DFEBDC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37F8AC67">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4788A170">
            <w:pPr>
              <w:spacing w:line="360" w:lineRule="auto"/>
              <w:jc w:val="center"/>
              <w:rPr>
                <w:rFonts w:ascii="宋体" w:hAnsi="宋体" w:eastAsia="宋体"/>
                <w:bCs/>
                <w:color w:val="auto"/>
                <w:sz w:val="22"/>
              </w:rPr>
            </w:pPr>
          </w:p>
        </w:tc>
        <w:tc>
          <w:tcPr>
            <w:tcW w:w="5214" w:type="dxa"/>
            <w:gridSpan w:val="9"/>
            <w:tcBorders>
              <w:top w:val="single" w:color="auto" w:sz="4" w:space="0"/>
              <w:left w:val="single" w:color="auto" w:sz="4" w:space="0"/>
              <w:bottom w:val="single" w:color="auto" w:sz="4" w:space="0"/>
              <w:right w:val="single" w:color="auto" w:sz="4" w:space="0"/>
            </w:tcBorders>
            <w:vAlign w:val="center"/>
          </w:tcPr>
          <w:p w14:paraId="1348BC65">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合作社成员大会决议</w:t>
            </w:r>
            <w:r>
              <w:rPr>
                <w:rFonts w:ascii="宋体" w:hAnsi="宋体" w:eastAsia="宋体"/>
                <w:color w:val="auto"/>
                <w:sz w:val="22"/>
              </w:rPr>
              <w:t>/</w:t>
            </w:r>
            <w:r>
              <w:rPr>
                <w:rFonts w:hint="eastAsia" w:ascii="宋体" w:hAnsi="宋体" w:eastAsia="宋体"/>
                <w:color w:val="auto"/>
                <w:sz w:val="22"/>
              </w:rPr>
              <w:t>股东会决议</w:t>
            </w:r>
            <w:r>
              <w:rPr>
                <w:rFonts w:ascii="宋体" w:hAnsi="宋体" w:eastAsia="宋体"/>
                <w:color w:val="auto"/>
                <w:sz w:val="22"/>
              </w:rPr>
              <w:t>/</w:t>
            </w:r>
            <w:r>
              <w:rPr>
                <w:rFonts w:hint="eastAsia" w:ascii="宋体" w:hAnsi="宋体" w:eastAsia="宋体"/>
                <w:color w:val="auto"/>
                <w:sz w:val="22"/>
              </w:rPr>
              <w:t>董事会决议</w:t>
            </w:r>
          </w:p>
        </w:tc>
      </w:tr>
      <w:tr w14:paraId="2F415A8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44E4960D">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7EA129F4">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1A5A4A36">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项目网络竞价须知</w:t>
            </w:r>
          </w:p>
        </w:tc>
        <w:tc>
          <w:tcPr>
            <w:tcW w:w="1710" w:type="dxa"/>
            <w:gridSpan w:val="2"/>
            <w:vMerge w:val="restart"/>
            <w:tcBorders>
              <w:top w:val="single" w:color="auto" w:sz="4" w:space="0"/>
              <w:left w:val="single" w:color="auto" w:sz="4" w:space="0"/>
              <w:right w:val="single" w:color="auto" w:sz="4" w:space="0"/>
            </w:tcBorders>
            <w:vAlign w:val="center"/>
          </w:tcPr>
          <w:p w14:paraId="096AE432">
            <w:pPr>
              <w:spacing w:line="360" w:lineRule="auto"/>
              <w:jc w:val="center"/>
              <w:rPr>
                <w:rFonts w:ascii="宋体" w:hAnsi="宋体" w:eastAsia="宋体"/>
                <w:color w:val="auto"/>
                <w:sz w:val="22"/>
              </w:rPr>
            </w:pPr>
            <w:r>
              <w:rPr>
                <w:rFonts w:hint="eastAsia" w:ascii="宋体" w:hAnsi="宋体" w:eastAsia="宋体"/>
                <w:color w:val="auto"/>
                <w:sz w:val="22"/>
              </w:rPr>
              <w:t>成交方式为网络竞价时须提供</w:t>
            </w:r>
          </w:p>
        </w:tc>
      </w:tr>
      <w:tr w14:paraId="537D2562">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1568651C">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380BC0DB">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45940C20">
            <w:pPr>
              <w:spacing w:line="360" w:lineRule="auto"/>
              <w:jc w:val="left"/>
              <w:rPr>
                <w:rFonts w:ascii="宋体" w:hAnsi="宋体" w:eastAsia="宋体"/>
                <w:bCs/>
                <w:color w:val="auto"/>
                <w:sz w:val="22"/>
              </w:rPr>
            </w:pPr>
            <w:r>
              <w:rPr>
                <w:rFonts w:ascii="宋体" w:hAnsi="宋体" w:eastAsia="宋体"/>
                <w:color w:val="auto"/>
                <w:sz w:val="22"/>
              </w:rPr>
              <w:t>□</w:t>
            </w:r>
            <w:r>
              <w:rPr>
                <w:rFonts w:hint="eastAsia" w:ascii="宋体" w:hAnsi="宋体" w:eastAsia="宋体"/>
                <w:color w:val="auto"/>
                <w:sz w:val="22"/>
              </w:rPr>
              <w:t>网络竞价项目承诺函</w:t>
            </w:r>
          </w:p>
        </w:tc>
        <w:tc>
          <w:tcPr>
            <w:tcW w:w="1710" w:type="dxa"/>
            <w:gridSpan w:val="2"/>
            <w:vMerge w:val="continue"/>
            <w:tcBorders>
              <w:left w:val="single" w:color="auto" w:sz="4" w:space="0"/>
              <w:right w:val="single" w:color="auto" w:sz="4" w:space="0"/>
            </w:tcBorders>
            <w:vAlign w:val="center"/>
          </w:tcPr>
          <w:p w14:paraId="3893DF1A">
            <w:pPr>
              <w:spacing w:line="360" w:lineRule="auto"/>
              <w:jc w:val="left"/>
              <w:rPr>
                <w:rFonts w:ascii="宋体" w:hAnsi="宋体" w:eastAsia="宋体"/>
                <w:color w:val="auto"/>
                <w:sz w:val="22"/>
              </w:rPr>
            </w:pPr>
          </w:p>
        </w:tc>
      </w:tr>
      <w:tr w14:paraId="13D50F00">
        <w:tblPrEx>
          <w:tblCellMar>
            <w:top w:w="0" w:type="dxa"/>
            <w:left w:w="0" w:type="dxa"/>
            <w:bottom w:w="0" w:type="dxa"/>
            <w:right w:w="0" w:type="dxa"/>
          </w:tblCellMar>
        </w:tblPrEx>
        <w:trPr>
          <w:cantSplit/>
          <w:trHeight w:val="232" w:hRule="atLeast"/>
          <w:jc w:val="center"/>
        </w:trPr>
        <w:tc>
          <w:tcPr>
            <w:tcW w:w="1413" w:type="dxa"/>
            <w:vMerge w:val="continue"/>
            <w:tcBorders>
              <w:left w:val="single" w:color="auto" w:sz="4" w:space="0"/>
              <w:right w:val="single" w:color="auto" w:sz="4" w:space="0"/>
            </w:tcBorders>
            <w:vAlign w:val="center"/>
          </w:tcPr>
          <w:p w14:paraId="2F5F5225">
            <w:pPr>
              <w:spacing w:line="360" w:lineRule="auto"/>
              <w:jc w:val="center"/>
              <w:rPr>
                <w:rFonts w:ascii="宋体" w:hAnsi="宋体" w:eastAsia="宋体"/>
                <w:bCs/>
                <w:color w:val="auto"/>
                <w:sz w:val="22"/>
              </w:rPr>
            </w:pPr>
          </w:p>
        </w:tc>
        <w:tc>
          <w:tcPr>
            <w:tcW w:w="2693" w:type="dxa"/>
            <w:gridSpan w:val="3"/>
            <w:vMerge w:val="continue"/>
            <w:tcBorders>
              <w:left w:val="single" w:color="auto" w:sz="4" w:space="0"/>
              <w:right w:val="single" w:color="auto" w:sz="4" w:space="0"/>
            </w:tcBorders>
            <w:vAlign w:val="center"/>
          </w:tcPr>
          <w:p w14:paraId="10246C51">
            <w:pPr>
              <w:spacing w:line="360" w:lineRule="auto"/>
              <w:jc w:val="center"/>
              <w:rPr>
                <w:rFonts w:ascii="宋体" w:hAnsi="宋体" w:eastAsia="宋体"/>
                <w:bCs/>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535738B1">
            <w:pPr>
              <w:spacing w:line="360" w:lineRule="auto"/>
              <w:jc w:val="left"/>
              <w:rPr>
                <w:rFonts w:ascii="宋体" w:hAnsi="宋体" w:eastAsia="宋体"/>
                <w:color w:val="auto"/>
                <w:sz w:val="22"/>
              </w:rPr>
            </w:pPr>
            <w:r>
              <w:rPr>
                <w:rFonts w:ascii="宋体" w:hAnsi="宋体" w:eastAsia="宋体"/>
                <w:color w:val="auto"/>
                <w:sz w:val="22"/>
              </w:rPr>
              <w:t>□</w:t>
            </w:r>
            <w:r>
              <w:rPr>
                <w:rFonts w:hint="eastAsia" w:ascii="宋体" w:hAnsi="宋体" w:eastAsia="宋体"/>
                <w:color w:val="auto"/>
                <w:sz w:val="22"/>
              </w:rPr>
              <w:t>打款证明（</w:t>
            </w:r>
            <w:r>
              <w:rPr>
                <w:rFonts w:hint="eastAsia" w:ascii="宋体" w:hAnsi="宋体"/>
                <w:color w:val="auto"/>
                <w:sz w:val="22"/>
              </w:rPr>
              <w:t>须</w:t>
            </w:r>
            <w:r>
              <w:rPr>
                <w:rFonts w:hint="eastAsia" w:ascii="宋体" w:hAnsi="宋体" w:eastAsia="宋体"/>
                <w:color w:val="auto"/>
                <w:sz w:val="22"/>
              </w:rPr>
              <w:t>备注项目编号）</w:t>
            </w:r>
          </w:p>
        </w:tc>
        <w:tc>
          <w:tcPr>
            <w:tcW w:w="1710" w:type="dxa"/>
            <w:gridSpan w:val="2"/>
            <w:vMerge w:val="continue"/>
            <w:tcBorders>
              <w:left w:val="single" w:color="auto" w:sz="4" w:space="0"/>
              <w:bottom w:val="single" w:color="auto" w:sz="4" w:space="0"/>
              <w:right w:val="single" w:color="auto" w:sz="4" w:space="0"/>
            </w:tcBorders>
            <w:vAlign w:val="center"/>
          </w:tcPr>
          <w:p w14:paraId="6324A241">
            <w:pPr>
              <w:spacing w:line="360" w:lineRule="auto"/>
              <w:jc w:val="left"/>
              <w:rPr>
                <w:rFonts w:ascii="宋体" w:hAnsi="宋体" w:eastAsia="宋体"/>
                <w:color w:val="auto"/>
                <w:sz w:val="22"/>
              </w:rPr>
            </w:pPr>
          </w:p>
        </w:tc>
      </w:tr>
      <w:tr w14:paraId="2A92AEB4">
        <w:tblPrEx>
          <w:tblCellMar>
            <w:top w:w="0" w:type="dxa"/>
            <w:left w:w="0" w:type="dxa"/>
            <w:bottom w:w="0" w:type="dxa"/>
            <w:right w:w="0" w:type="dxa"/>
          </w:tblCellMar>
        </w:tblPrEx>
        <w:trPr>
          <w:cantSplit/>
          <w:trHeight w:val="567" w:hRule="atLeast"/>
          <w:jc w:val="center"/>
        </w:trPr>
        <w:tc>
          <w:tcPr>
            <w:tcW w:w="1413" w:type="dxa"/>
            <w:vMerge w:val="restart"/>
            <w:tcBorders>
              <w:top w:val="single" w:color="auto" w:sz="4" w:space="0"/>
              <w:left w:val="single" w:color="auto" w:sz="4" w:space="0"/>
              <w:right w:val="single" w:color="auto" w:sz="4" w:space="0"/>
            </w:tcBorders>
            <w:vAlign w:val="center"/>
          </w:tcPr>
          <w:p w14:paraId="1855C4C2">
            <w:pPr>
              <w:spacing w:line="360" w:lineRule="auto"/>
              <w:jc w:val="center"/>
              <w:rPr>
                <w:rFonts w:ascii="宋体" w:hAnsi="宋体" w:eastAsia="宋体"/>
                <w:color w:val="auto"/>
                <w:sz w:val="22"/>
              </w:rPr>
            </w:pPr>
            <w:r>
              <w:rPr>
                <w:rFonts w:hint="eastAsia" w:ascii="宋体" w:hAnsi="宋体" w:eastAsia="宋体"/>
                <w:bCs/>
                <w:color w:val="auto"/>
                <w:sz w:val="22"/>
              </w:rPr>
              <w:t>委托会员</w:t>
            </w:r>
          </w:p>
        </w:tc>
        <w:tc>
          <w:tcPr>
            <w:tcW w:w="1520" w:type="dxa"/>
            <w:tcBorders>
              <w:top w:val="single" w:color="auto" w:sz="4" w:space="0"/>
              <w:left w:val="single" w:color="auto" w:sz="4" w:space="0"/>
              <w:bottom w:val="single" w:color="auto" w:sz="4" w:space="0"/>
              <w:right w:val="single" w:color="auto" w:sz="4" w:space="0"/>
            </w:tcBorders>
            <w:vAlign w:val="center"/>
          </w:tcPr>
          <w:p w14:paraId="6BF46384">
            <w:pPr>
              <w:spacing w:line="360" w:lineRule="auto"/>
              <w:jc w:val="center"/>
              <w:rPr>
                <w:rFonts w:ascii="宋体" w:hAnsi="宋体" w:eastAsia="宋体"/>
                <w:color w:val="auto"/>
                <w:sz w:val="22"/>
              </w:rPr>
            </w:pPr>
            <w:r>
              <w:rPr>
                <w:rFonts w:hint="eastAsia" w:ascii="宋体" w:hAnsi="宋体" w:eastAsia="宋体"/>
                <w:color w:val="auto"/>
                <w:sz w:val="22"/>
              </w:rPr>
              <w:t>委托机构</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7D195F9B">
            <w:pPr>
              <w:spacing w:line="360" w:lineRule="auto"/>
              <w:jc w:val="center"/>
              <w:rPr>
                <w:rFonts w:ascii="宋体" w:hAnsi="宋体" w:eastAsia="宋体"/>
                <w:color w:val="auto"/>
                <w:sz w:val="22"/>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62A2CBEA">
            <w:pPr>
              <w:spacing w:line="360" w:lineRule="auto"/>
              <w:jc w:val="center"/>
              <w:rPr>
                <w:rFonts w:ascii="宋体" w:hAnsi="宋体" w:eastAsia="宋体"/>
                <w:color w:val="auto"/>
                <w:sz w:val="22"/>
              </w:rPr>
            </w:pPr>
            <w:r>
              <w:rPr>
                <w:rFonts w:hint="eastAsia" w:ascii="宋体" w:hAnsi="宋体" w:eastAsia="宋体"/>
                <w:color w:val="auto"/>
                <w:sz w:val="22"/>
              </w:rPr>
              <w:t>会员代码</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5D64B89E">
            <w:pPr>
              <w:spacing w:line="360" w:lineRule="auto"/>
              <w:rPr>
                <w:rFonts w:ascii="宋体" w:hAnsi="宋体" w:eastAsia="宋体"/>
                <w:color w:val="auto"/>
                <w:sz w:val="22"/>
              </w:rPr>
            </w:pPr>
          </w:p>
        </w:tc>
      </w:tr>
      <w:tr w14:paraId="65DB0180">
        <w:tblPrEx>
          <w:tblCellMar>
            <w:top w:w="0" w:type="dxa"/>
            <w:left w:w="0" w:type="dxa"/>
            <w:bottom w:w="0" w:type="dxa"/>
            <w:right w:w="0" w:type="dxa"/>
          </w:tblCellMar>
        </w:tblPrEx>
        <w:trPr>
          <w:cantSplit/>
          <w:trHeight w:val="567" w:hRule="atLeast"/>
          <w:jc w:val="center"/>
        </w:trPr>
        <w:tc>
          <w:tcPr>
            <w:tcW w:w="1413" w:type="dxa"/>
            <w:vMerge w:val="continue"/>
            <w:tcBorders>
              <w:left w:val="single" w:color="auto" w:sz="4" w:space="0"/>
              <w:bottom w:val="single" w:color="auto" w:sz="4" w:space="0"/>
              <w:right w:val="single" w:color="auto" w:sz="4" w:space="0"/>
            </w:tcBorders>
            <w:vAlign w:val="center"/>
          </w:tcPr>
          <w:p w14:paraId="1DA84F9D">
            <w:pPr>
              <w:spacing w:line="360" w:lineRule="auto"/>
              <w:jc w:val="center"/>
              <w:rPr>
                <w:rFonts w:ascii="宋体" w:hAnsi="宋体" w:eastAsia="宋体"/>
                <w:color w:val="auto"/>
                <w:sz w:val="22"/>
              </w:rPr>
            </w:pPr>
          </w:p>
        </w:tc>
        <w:tc>
          <w:tcPr>
            <w:tcW w:w="1520" w:type="dxa"/>
            <w:tcBorders>
              <w:top w:val="single" w:color="auto" w:sz="4" w:space="0"/>
              <w:left w:val="single" w:color="auto" w:sz="4" w:space="0"/>
              <w:bottom w:val="single" w:color="auto" w:sz="4" w:space="0"/>
              <w:right w:val="single" w:color="auto" w:sz="4" w:space="0"/>
            </w:tcBorders>
            <w:vAlign w:val="center"/>
          </w:tcPr>
          <w:p w14:paraId="1BF663A6">
            <w:pPr>
              <w:spacing w:line="360" w:lineRule="auto"/>
              <w:jc w:val="center"/>
              <w:rPr>
                <w:rFonts w:ascii="宋体" w:hAnsi="宋体" w:eastAsia="宋体"/>
                <w:color w:val="auto"/>
                <w:sz w:val="22"/>
              </w:rPr>
            </w:pPr>
            <w:r>
              <w:rPr>
                <w:rFonts w:hint="eastAsia" w:ascii="宋体" w:hAnsi="宋体" w:eastAsia="宋体"/>
                <w:color w:val="auto"/>
                <w:sz w:val="22"/>
              </w:rPr>
              <w:t>联系人</w:t>
            </w:r>
          </w:p>
        </w:tc>
        <w:tc>
          <w:tcPr>
            <w:tcW w:w="1173" w:type="dxa"/>
            <w:gridSpan w:val="2"/>
            <w:tcBorders>
              <w:top w:val="single" w:color="auto" w:sz="4" w:space="0"/>
              <w:left w:val="single" w:color="auto" w:sz="4" w:space="0"/>
              <w:bottom w:val="single" w:color="auto" w:sz="4" w:space="0"/>
              <w:right w:val="single" w:color="auto" w:sz="4" w:space="0"/>
            </w:tcBorders>
            <w:vAlign w:val="center"/>
          </w:tcPr>
          <w:p w14:paraId="677E8943">
            <w:pPr>
              <w:spacing w:line="360" w:lineRule="auto"/>
              <w:jc w:val="center"/>
              <w:rPr>
                <w:rFonts w:hint="eastAsia" w:ascii="宋体" w:hAnsi="宋体" w:eastAsia="宋体"/>
                <w:color w:val="auto"/>
                <w:sz w:val="22"/>
                <w:lang w:val="en-US" w:eastAsia="zh-CN"/>
              </w:rPr>
            </w:pPr>
          </w:p>
        </w:tc>
        <w:tc>
          <w:tcPr>
            <w:tcW w:w="3504" w:type="dxa"/>
            <w:gridSpan w:val="7"/>
            <w:tcBorders>
              <w:top w:val="single" w:color="auto" w:sz="4" w:space="0"/>
              <w:left w:val="single" w:color="auto" w:sz="4" w:space="0"/>
              <w:bottom w:val="single" w:color="auto" w:sz="4" w:space="0"/>
              <w:right w:val="single" w:color="auto" w:sz="4" w:space="0"/>
            </w:tcBorders>
            <w:vAlign w:val="center"/>
          </w:tcPr>
          <w:p w14:paraId="7B6E1065">
            <w:pPr>
              <w:spacing w:line="360" w:lineRule="auto"/>
              <w:jc w:val="center"/>
              <w:rPr>
                <w:rFonts w:ascii="宋体" w:hAnsi="宋体" w:eastAsia="宋体"/>
                <w:color w:val="auto"/>
                <w:sz w:val="22"/>
              </w:rPr>
            </w:pPr>
            <w:r>
              <w:rPr>
                <w:rFonts w:hint="eastAsia" w:ascii="宋体" w:hAnsi="宋体" w:eastAsia="宋体"/>
                <w:color w:val="auto"/>
                <w:sz w:val="22"/>
              </w:rPr>
              <w:t>联系人电话</w:t>
            </w:r>
          </w:p>
        </w:tc>
        <w:tc>
          <w:tcPr>
            <w:tcW w:w="1710" w:type="dxa"/>
            <w:gridSpan w:val="2"/>
            <w:tcBorders>
              <w:top w:val="single" w:color="auto" w:sz="4" w:space="0"/>
              <w:left w:val="single" w:color="auto" w:sz="4" w:space="0"/>
              <w:bottom w:val="single" w:color="auto" w:sz="4" w:space="0"/>
              <w:right w:val="single" w:color="auto" w:sz="4" w:space="0"/>
            </w:tcBorders>
            <w:vAlign w:val="center"/>
          </w:tcPr>
          <w:p w14:paraId="29B1569B">
            <w:pPr>
              <w:spacing w:line="360" w:lineRule="auto"/>
              <w:jc w:val="center"/>
              <w:rPr>
                <w:rFonts w:hint="default" w:ascii="宋体" w:hAnsi="宋体" w:eastAsia="宋体"/>
                <w:color w:val="auto"/>
                <w:sz w:val="22"/>
                <w:lang w:val="en-US" w:eastAsia="zh-CN"/>
              </w:rPr>
            </w:pPr>
          </w:p>
        </w:tc>
      </w:tr>
    </w:tbl>
    <w:p w14:paraId="62793C3E">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04B69615">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3377BB91">
      <w:pPr>
        <w:spacing w:line="570" w:lineRule="exact"/>
        <w:jc w:val="center"/>
        <w:rPr>
          <w:rFonts w:hint="eastAsia" w:ascii="方正小标宋简体" w:hAnsi="方正小标宋简体" w:eastAsia="方正小标宋简体" w:cs="方正小标宋简体"/>
          <w:b/>
          <w:bCs/>
          <w:color w:val="auto"/>
          <w:sz w:val="36"/>
          <w:szCs w:val="36"/>
          <w:u w:val="single"/>
        </w:rPr>
      </w:pPr>
    </w:p>
    <w:p w14:paraId="16F2920D">
      <w:pPr>
        <w:keepNext w:val="0"/>
        <w:keepLines w:val="0"/>
        <w:pageBreakBefore w:val="0"/>
        <w:widowControl w:val="0"/>
        <w:kinsoku/>
        <w:wordWrap/>
        <w:overflowPunct/>
        <w:topLinePunct w:val="0"/>
        <w:autoSpaceDE/>
        <w:autoSpaceDN/>
        <w:bidi w:val="0"/>
        <w:adjustRightInd/>
        <w:snapToGrid/>
        <w:spacing w:line="640" w:lineRule="exact"/>
        <w:jc w:val="center"/>
        <w:textAlignment w:val="auto"/>
        <w:rPr>
          <w:rFonts w:hint="eastAsia" w:ascii="新宋体" w:hAnsi="新宋体" w:eastAsia="新宋体" w:cs="新宋体"/>
          <w:b/>
          <w:bCs/>
          <w:color w:val="auto"/>
          <w:sz w:val="36"/>
          <w:szCs w:val="36"/>
        </w:rPr>
      </w:pPr>
      <w:r>
        <w:rPr>
          <w:rFonts w:hint="eastAsia" w:ascii="新宋体" w:hAnsi="新宋体" w:eastAsia="新宋体" w:cs="新宋体"/>
          <w:b/>
          <w:bCs/>
          <w:color w:val="auto"/>
          <w:sz w:val="36"/>
          <w:szCs w:val="36"/>
          <w:u w:val="single"/>
          <w:lang w:val="en-US" w:eastAsia="zh-CN"/>
        </w:rPr>
        <w:t>屯昌县南坤镇藤寨墟农贸市场旁36㎡1号铁皮棚出租</w:t>
      </w:r>
      <w:r>
        <w:rPr>
          <w:rFonts w:hint="eastAsia" w:ascii="新宋体" w:hAnsi="新宋体" w:eastAsia="新宋体" w:cs="新宋体"/>
          <w:b/>
          <w:bCs/>
          <w:color w:val="auto"/>
          <w:sz w:val="36"/>
          <w:szCs w:val="36"/>
          <w:lang w:val="en-US" w:eastAsia="zh-CN"/>
        </w:rPr>
        <w:t>交易</w:t>
      </w:r>
      <w:r>
        <w:rPr>
          <w:rFonts w:hint="eastAsia" w:ascii="新宋体" w:hAnsi="新宋体" w:eastAsia="新宋体" w:cs="新宋体"/>
          <w:b/>
          <w:bCs/>
          <w:color w:val="auto"/>
          <w:sz w:val="36"/>
          <w:szCs w:val="36"/>
        </w:rPr>
        <w:t>公示</w:t>
      </w:r>
    </w:p>
    <w:p w14:paraId="5646C5BB">
      <w:pPr>
        <w:pStyle w:val="4"/>
        <w:keepNext/>
        <w:keepLines/>
        <w:pageBreakBefore w:val="0"/>
        <w:widowControl w:val="0"/>
        <w:kinsoku/>
        <w:wordWrap/>
        <w:overflowPunct/>
        <w:topLinePunct w:val="0"/>
        <w:autoSpaceDE/>
        <w:autoSpaceDN/>
        <w:bidi w:val="0"/>
        <w:adjustRightInd/>
        <w:snapToGrid/>
        <w:spacing w:before="0" w:after="0" w:line="590" w:lineRule="exact"/>
        <w:textAlignment w:val="auto"/>
        <w:rPr>
          <w:rFonts w:hint="eastAsia"/>
        </w:rPr>
      </w:pPr>
    </w:p>
    <w:p w14:paraId="12AF6930">
      <w:pPr>
        <w:keepNext w:val="0"/>
        <w:keepLines w:val="0"/>
        <w:pageBreakBefore w:val="0"/>
        <w:widowControl w:val="0"/>
        <w:kinsoku/>
        <w:overflowPunct/>
        <w:topLinePunct w:val="0"/>
        <w:autoSpaceDE/>
        <w:autoSpaceDN/>
        <w:bidi w:val="0"/>
        <w:adjustRightInd/>
        <w:snapToGrid/>
        <w:spacing w:line="590" w:lineRule="exact"/>
        <w:ind w:firstLine="640" w:firstLineChars="200"/>
        <w:textAlignment w:val="auto"/>
        <w:rPr>
          <w:rFonts w:hint="eastAsia" w:asciiTheme="minorEastAsia" w:hAnsiTheme="minorEastAsia" w:eastAsiaTheme="minorEastAsia" w:cstheme="minorEastAsia"/>
          <w:color w:val="auto"/>
          <w:sz w:val="32"/>
          <w:szCs w:val="32"/>
        </w:rPr>
      </w:pPr>
      <w:r>
        <w:rPr>
          <w:rFonts w:hint="eastAsia" w:asciiTheme="minorEastAsia" w:hAnsiTheme="minorEastAsia" w:eastAsiaTheme="minorEastAsia" w:cstheme="minorEastAsia"/>
          <w:color w:val="auto"/>
          <w:sz w:val="32"/>
          <w:szCs w:val="32"/>
        </w:rPr>
        <w:t>经</w:t>
      </w:r>
      <w:r>
        <w:rPr>
          <w:rFonts w:hint="eastAsia" w:asciiTheme="minorEastAsia" w:hAnsiTheme="minorEastAsia" w:cstheme="minorEastAsia"/>
          <w:color w:val="auto"/>
          <w:sz w:val="32"/>
          <w:szCs w:val="32"/>
          <w:u w:val="single"/>
          <w:lang w:val="en-US" w:eastAsia="zh-CN"/>
        </w:rPr>
        <w:t>屯昌县滕寨供销社</w:t>
      </w:r>
      <w:r>
        <w:rPr>
          <w:rFonts w:hint="eastAsia" w:asciiTheme="minorEastAsia" w:hAnsiTheme="minorEastAsia" w:eastAsiaTheme="minorEastAsia" w:cstheme="minorEastAsia"/>
          <w:color w:val="auto"/>
          <w:sz w:val="32"/>
          <w:szCs w:val="32"/>
        </w:rPr>
        <w:t>召开会议决议，同意</w:t>
      </w:r>
      <w:r>
        <w:rPr>
          <w:rFonts w:hint="eastAsia" w:asciiTheme="minorEastAsia" w:hAnsiTheme="minorEastAsia" w:cstheme="minorEastAsia"/>
          <w:color w:val="auto"/>
          <w:sz w:val="32"/>
          <w:szCs w:val="32"/>
          <w:u w:val="single"/>
          <w:lang w:val="en-US" w:eastAsia="zh-CN"/>
        </w:rPr>
        <w:t>屯昌县南坤镇藤寨墟农贸市场旁36㎡1号铁皮棚出租</w:t>
      </w:r>
      <w:r>
        <w:rPr>
          <w:rFonts w:hint="eastAsia" w:asciiTheme="minorEastAsia" w:hAnsiTheme="minorEastAsia" w:eastAsiaTheme="minorEastAsia" w:cstheme="minorEastAsia"/>
          <w:color w:val="auto"/>
          <w:sz w:val="32"/>
          <w:szCs w:val="32"/>
        </w:rPr>
        <w:t>在</w:t>
      </w:r>
      <w:r>
        <w:rPr>
          <w:rFonts w:hint="eastAsia" w:asciiTheme="minorEastAsia" w:hAnsiTheme="minorEastAsia" w:cstheme="minorEastAsia"/>
          <w:color w:val="auto"/>
          <w:sz w:val="32"/>
          <w:szCs w:val="32"/>
          <w:lang w:val="en-US" w:eastAsia="zh-CN"/>
        </w:rPr>
        <w:t>屯昌县农村产权交易服务平台</w:t>
      </w:r>
      <w:r>
        <w:rPr>
          <w:rFonts w:hint="eastAsia" w:asciiTheme="minorEastAsia" w:hAnsiTheme="minorEastAsia" w:eastAsiaTheme="minorEastAsia" w:cstheme="minorEastAsia"/>
          <w:color w:val="auto"/>
          <w:sz w:val="32"/>
          <w:szCs w:val="32"/>
        </w:rPr>
        <w:t>（</w:t>
      </w:r>
      <w:r>
        <w:rPr>
          <w:rFonts w:hint="eastAsia" w:ascii="新宋体" w:hAnsi="新宋体" w:eastAsia="新宋体" w:cs="Times New Roman"/>
          <w:color w:val="auto"/>
          <w:sz w:val="28"/>
          <w:szCs w:val="28"/>
        </w:rPr>
        <w:t>https://tunchang.nongjiao.com/</w:t>
      </w:r>
      <w:r>
        <w:rPr>
          <w:rFonts w:hint="eastAsia" w:asciiTheme="minorEastAsia" w:hAnsiTheme="minorEastAsia" w:eastAsiaTheme="minorEastAsia" w:cstheme="minorEastAsia"/>
          <w:color w:val="auto"/>
          <w:sz w:val="32"/>
          <w:szCs w:val="32"/>
        </w:rPr>
        <w:t>，以下简称“平台”）进行出租交易，依据《</w:t>
      </w:r>
      <w:r>
        <w:rPr>
          <w:rFonts w:hint="eastAsia" w:asciiTheme="minorEastAsia" w:hAnsiTheme="minorEastAsia" w:cstheme="minorEastAsia"/>
          <w:color w:val="auto"/>
          <w:sz w:val="32"/>
          <w:szCs w:val="32"/>
          <w:lang w:val="en-US" w:eastAsia="zh-CN"/>
        </w:rPr>
        <w:t>屯昌县</w:t>
      </w:r>
      <w:r>
        <w:rPr>
          <w:rFonts w:hint="eastAsia" w:asciiTheme="minorEastAsia" w:hAnsiTheme="minorEastAsia" w:eastAsiaTheme="minorEastAsia" w:cstheme="minorEastAsia"/>
          <w:color w:val="auto"/>
          <w:sz w:val="32"/>
          <w:szCs w:val="32"/>
        </w:rPr>
        <w:t>农村产权流转交易管理暂行办法》规定在平台挂牌交易，现将公示如下：</w:t>
      </w:r>
    </w:p>
    <w:p w14:paraId="5E0D3AE1">
      <w:pPr>
        <w:keepNext w:val="0"/>
        <w:keepLines w:val="0"/>
        <w:pageBreakBefore w:val="0"/>
        <w:widowControl w:val="0"/>
        <w:numPr>
          <w:ilvl w:val="0"/>
          <w:numId w:val="3"/>
        </w:numPr>
        <w:kinsoku/>
        <w:wordWrap/>
        <w:overflowPunct/>
        <w:topLinePunct w:val="0"/>
        <w:autoSpaceDE/>
        <w:autoSpaceDN/>
        <w:bidi w:val="0"/>
        <w:adjustRightInd/>
        <w:snapToGrid/>
        <w:spacing w:line="590" w:lineRule="exact"/>
        <w:ind w:firstLine="0" w:firstLineChars="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eastAsiaTheme="minorEastAsia" w:cstheme="minorEastAsia"/>
          <w:b/>
          <w:bCs/>
          <w:color w:val="auto"/>
          <w:sz w:val="28"/>
          <w:szCs w:val="28"/>
        </w:rPr>
        <w:t>标的信</w:t>
      </w:r>
      <w:r>
        <w:rPr>
          <w:rFonts w:hint="eastAsia" w:asciiTheme="minorEastAsia" w:hAnsiTheme="minorEastAsia" w:cstheme="minorEastAsia"/>
          <w:b/>
          <w:bCs/>
          <w:color w:val="auto"/>
          <w:sz w:val="28"/>
          <w:szCs w:val="28"/>
          <w:lang w:val="en-US" w:eastAsia="zh-CN"/>
        </w:rPr>
        <w:t>息</w:t>
      </w:r>
    </w:p>
    <w:p w14:paraId="42F42192">
      <w:pPr>
        <w:keepNext w:val="0"/>
        <w:keepLines w:val="0"/>
        <w:pageBreakBefore w:val="0"/>
        <w:widowControl w:val="0"/>
        <w:numPr>
          <w:ilvl w:val="0"/>
          <w:numId w:val="0"/>
        </w:numPr>
        <w:kinsoku/>
        <w:overflowPunct/>
        <w:topLinePunct w:val="0"/>
        <w:autoSpaceDE/>
        <w:autoSpaceDN/>
        <w:bidi w:val="0"/>
        <w:adjustRightInd/>
        <w:snapToGrid/>
        <w:spacing w:line="590" w:lineRule="exact"/>
        <w:ind w:left="559" w:leftChars="266" w:firstLine="0" w:firstLineChars="0"/>
        <w:textAlignment w:val="auto"/>
        <w:rPr>
          <w:rFonts w:hint="eastAsia" w:asciiTheme="minorEastAsia" w:hAnsiTheme="minorEastAsia" w:eastAsia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标的名称：</w:t>
      </w:r>
      <w:bookmarkStart w:id="35" w:name="OLE_LINK10"/>
      <w:r>
        <w:rPr>
          <w:rFonts w:hint="eastAsia" w:asciiTheme="minorEastAsia" w:hAnsiTheme="minorEastAsia" w:eastAsiaTheme="minorEastAsia" w:cstheme="minorEastAsia"/>
          <w:color w:val="auto"/>
          <w:sz w:val="28"/>
          <w:szCs w:val="28"/>
          <w:lang w:val="en-US" w:eastAsia="zh-CN"/>
        </w:rPr>
        <w:t>屯昌县南坤镇藤寨墟农贸市场旁36㎡</w:t>
      </w:r>
      <w:r>
        <w:rPr>
          <w:rFonts w:hint="eastAsia" w:asciiTheme="minorEastAsia" w:hAnsiTheme="minorEastAsia" w:cstheme="minorEastAsia"/>
          <w:color w:val="auto"/>
          <w:sz w:val="28"/>
          <w:szCs w:val="28"/>
          <w:lang w:val="en-US" w:eastAsia="zh-CN"/>
        </w:rPr>
        <w:t>1</w:t>
      </w:r>
      <w:r>
        <w:rPr>
          <w:rFonts w:hint="eastAsia" w:asciiTheme="minorEastAsia" w:hAnsiTheme="minorEastAsia" w:eastAsiaTheme="minorEastAsia" w:cstheme="minorEastAsia"/>
          <w:color w:val="auto"/>
          <w:sz w:val="28"/>
          <w:szCs w:val="28"/>
          <w:lang w:val="en-US" w:eastAsia="zh-CN"/>
        </w:rPr>
        <w:t>号铁皮棚出租</w:t>
      </w:r>
    </w:p>
    <w:p w14:paraId="61EE8F41">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w:t>
      </w:r>
      <w:r>
        <w:rPr>
          <w:rFonts w:hint="eastAsia" w:asciiTheme="minorEastAsia" w:hAnsiTheme="minorEastAsia" w:eastAsiaTheme="minorEastAsia" w:cstheme="minorEastAsia"/>
          <w:color w:val="auto"/>
          <w:sz w:val="28"/>
          <w:szCs w:val="28"/>
          <w:lang w:val="en-US" w:eastAsia="zh-CN"/>
        </w:rPr>
        <w:t>方</w:t>
      </w:r>
      <w:r>
        <w:rPr>
          <w:rFonts w:hint="eastAsia" w:asciiTheme="minorEastAsia" w:hAnsiTheme="minorEastAsia" w:cstheme="minorEastAsia"/>
          <w:color w:val="auto"/>
          <w:sz w:val="28"/>
          <w:szCs w:val="28"/>
          <w:lang w:val="en-US" w:eastAsia="zh-CN"/>
        </w:rPr>
        <w:t>：屯昌县滕寨供销社</w:t>
      </w:r>
    </w:p>
    <w:p w14:paraId="0B8E3215">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出租面积：36㎡</w:t>
      </w:r>
    </w:p>
    <w:p w14:paraId="0D5908A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出租年限：1</w:t>
      </w:r>
      <w:bookmarkStart w:id="36" w:name="_GoBack"/>
      <w:bookmarkEnd w:id="36"/>
      <w:r>
        <w:rPr>
          <w:rFonts w:hint="eastAsia" w:asciiTheme="minorEastAsia" w:hAnsiTheme="minorEastAsia" w:cstheme="minorEastAsia"/>
          <w:color w:val="auto"/>
          <w:sz w:val="28"/>
          <w:szCs w:val="28"/>
          <w:lang w:val="en-US" w:eastAsia="zh-CN"/>
        </w:rPr>
        <w:t>年</w:t>
      </w:r>
    </w:p>
    <w:p w14:paraId="0D0DDCAE">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FF0000"/>
          <w:sz w:val="28"/>
          <w:szCs w:val="28"/>
          <w:lang w:val="en-US" w:eastAsia="zh-CN"/>
        </w:rPr>
      </w:pPr>
      <w:r>
        <w:rPr>
          <w:rFonts w:hint="eastAsia" w:asciiTheme="minorEastAsia" w:hAnsiTheme="minorEastAsia" w:cstheme="minorEastAsia"/>
          <w:color w:val="auto"/>
          <w:sz w:val="28"/>
          <w:szCs w:val="28"/>
          <w:lang w:val="en-US" w:eastAsia="zh-CN"/>
        </w:rPr>
        <w:t>挂网底价：5400元/年</w:t>
      </w:r>
    </w:p>
    <w:p w14:paraId="4DEF106F">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交易保证金：5400元</w:t>
      </w:r>
    </w:p>
    <w:p w14:paraId="5C2E7644">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报名时间：2026/5/19 10:00:00至2026/5/27 16:00:00</w:t>
      </w:r>
    </w:p>
    <w:p w14:paraId="596FB08B">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cstheme="minorEastAsia"/>
          <w:color w:val="auto"/>
          <w:sz w:val="28"/>
          <w:szCs w:val="28"/>
          <w:lang w:val="en-US" w:eastAsia="zh-CN"/>
        </w:rPr>
      </w:pPr>
      <w:r>
        <w:rPr>
          <w:rFonts w:hint="eastAsia" w:asciiTheme="minorEastAsia" w:hAnsiTheme="minorEastAsia" w:cstheme="minorEastAsia"/>
          <w:color w:val="auto"/>
          <w:sz w:val="28"/>
          <w:szCs w:val="28"/>
          <w:lang w:val="en-US" w:eastAsia="zh-CN"/>
        </w:rPr>
        <w:t>竞拍时间：</w:t>
      </w:r>
      <w:bookmarkEnd w:id="35"/>
      <w:r>
        <w:rPr>
          <w:rFonts w:hint="eastAsia" w:asciiTheme="minorEastAsia" w:hAnsiTheme="minorEastAsia" w:cstheme="minorEastAsia"/>
          <w:color w:val="auto"/>
          <w:sz w:val="28"/>
          <w:szCs w:val="28"/>
          <w:lang w:val="en-US" w:eastAsia="zh-CN"/>
        </w:rPr>
        <w:t>2026/5/28 10:00:00</w:t>
      </w:r>
    </w:p>
    <w:p w14:paraId="5071C517">
      <w:pPr>
        <w:keepNext w:val="0"/>
        <w:keepLines w:val="0"/>
        <w:pageBreakBefore w:val="0"/>
        <w:widowControl w:val="0"/>
        <w:numPr>
          <w:ilvl w:val="0"/>
          <w:numId w:val="0"/>
        </w:numPr>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FF0000"/>
          <w:sz w:val="28"/>
          <w:szCs w:val="28"/>
          <w:lang w:val="en-US" w:eastAsia="zh-CN"/>
        </w:rPr>
      </w:pPr>
      <w:r>
        <w:rPr>
          <w:rFonts w:hint="eastAsia" w:asciiTheme="minorEastAsia" w:hAnsiTheme="minorEastAsia" w:eastAsiaTheme="minorEastAsia" w:cstheme="minorEastAsia"/>
          <w:color w:val="auto"/>
          <w:sz w:val="28"/>
          <w:szCs w:val="28"/>
        </w:rPr>
        <w:t>付款方式：</w:t>
      </w:r>
      <w:r>
        <w:rPr>
          <w:rFonts w:hint="eastAsia" w:asciiTheme="minorEastAsia" w:hAnsiTheme="minorEastAsia" w:cstheme="minorEastAsia"/>
          <w:color w:val="auto"/>
          <w:sz w:val="28"/>
          <w:szCs w:val="28"/>
          <w:lang w:val="en-US" w:eastAsia="zh-CN"/>
        </w:rPr>
        <w:t>一年一付</w:t>
      </w:r>
    </w:p>
    <w:p w14:paraId="0452AC30">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现场勘查联系方式：曾先生  13976301144</w:t>
      </w:r>
    </w:p>
    <w:p w14:paraId="54F7E618">
      <w:pPr>
        <w:keepNext w:val="0"/>
        <w:keepLines w:val="0"/>
        <w:pageBreakBefore w:val="0"/>
        <w:widowControl w:val="0"/>
        <w:kinsoku/>
        <w:wordWrap/>
        <w:overflowPunct/>
        <w:topLinePunct w:val="0"/>
        <w:autoSpaceDE/>
        <w:autoSpaceDN/>
        <w:bidi w:val="0"/>
        <w:adjustRightInd/>
        <w:snapToGrid/>
        <w:spacing w:line="590" w:lineRule="exact"/>
        <w:ind w:firstLine="0" w:firstLineChars="0"/>
        <w:textAlignment w:val="auto"/>
        <w:rPr>
          <w:rFonts w:hint="eastAsia" w:asciiTheme="minorEastAsia" w:hAnsiTheme="minorEastAsia" w:eastAsiaTheme="minorEastAsia" w:cstheme="minorEastAsia"/>
          <w:b/>
          <w:bCs/>
          <w:color w:val="auto"/>
          <w:sz w:val="28"/>
          <w:szCs w:val="28"/>
        </w:rPr>
      </w:pPr>
      <w:r>
        <w:rPr>
          <w:rFonts w:hint="eastAsia" w:asciiTheme="minorEastAsia" w:hAnsiTheme="minorEastAsia" w:eastAsiaTheme="minorEastAsia" w:cstheme="minorEastAsia"/>
          <w:b/>
          <w:bCs/>
          <w:color w:val="auto"/>
          <w:sz w:val="28"/>
          <w:szCs w:val="28"/>
        </w:rPr>
        <w:t>二、流转交易渠道</w:t>
      </w:r>
    </w:p>
    <w:p w14:paraId="01E07DE5">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项目将通过平台流转交易。</w:t>
      </w:r>
    </w:p>
    <w:p w14:paraId="65301C86">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监督电话：0898-6</w:t>
      </w:r>
      <w:r>
        <w:rPr>
          <w:rFonts w:hint="eastAsia" w:asciiTheme="minorEastAsia" w:hAnsiTheme="minorEastAsia" w:cstheme="minorEastAsia"/>
          <w:color w:val="auto"/>
          <w:sz w:val="28"/>
          <w:szCs w:val="28"/>
          <w:lang w:val="en-US" w:eastAsia="zh-CN"/>
        </w:rPr>
        <w:t>7814844</w:t>
      </w:r>
      <w:r>
        <w:rPr>
          <w:rFonts w:hint="eastAsia" w:asciiTheme="minorEastAsia" w:hAnsiTheme="minorEastAsia" w:eastAsiaTheme="minorEastAsia" w:cstheme="minorEastAsia"/>
          <w:color w:val="auto"/>
          <w:sz w:val="28"/>
          <w:szCs w:val="28"/>
        </w:rPr>
        <w:t>（报名热线）</w:t>
      </w:r>
    </w:p>
    <w:p w14:paraId="22AA48A7">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default" w:asciiTheme="minorEastAsia" w:hAnsiTheme="minorEastAsia" w:eastAsiaTheme="minorEastAsia" w:cstheme="minorEastAsia"/>
          <w:color w:val="auto"/>
          <w:sz w:val="28"/>
          <w:szCs w:val="28"/>
          <w:lang w:val="en-US" w:eastAsia="zh-CN"/>
        </w:rPr>
      </w:pPr>
      <w:r>
        <w:rPr>
          <w:rFonts w:hint="eastAsia" w:asciiTheme="minorEastAsia" w:hAnsiTheme="minorEastAsia" w:eastAsiaTheme="minorEastAsia" w:cstheme="minorEastAsia"/>
          <w:color w:val="auto"/>
          <w:sz w:val="28"/>
          <w:szCs w:val="28"/>
        </w:rPr>
        <w:t>报名地址：</w:t>
      </w:r>
      <w:r>
        <w:rPr>
          <w:rFonts w:hint="eastAsia" w:asciiTheme="minorEastAsia" w:hAnsiTheme="minorEastAsia" w:cstheme="minorEastAsia"/>
          <w:color w:val="auto"/>
          <w:sz w:val="28"/>
          <w:szCs w:val="28"/>
          <w:lang w:val="en-US" w:eastAsia="zh-CN"/>
        </w:rPr>
        <w:t>海南省屯昌县屯城镇环东一路东侧昌顺花园6#-B幢102号</w:t>
      </w:r>
    </w:p>
    <w:p w14:paraId="1C36EA52">
      <w:pPr>
        <w:keepNext w:val="0"/>
        <w:keepLines w:val="0"/>
        <w:pageBreakBefore w:val="0"/>
        <w:widowControl w:val="0"/>
        <w:kinsoku/>
        <w:overflowPunct/>
        <w:topLinePunct w:val="0"/>
        <w:autoSpaceDE/>
        <w:autoSpaceDN/>
        <w:bidi w:val="0"/>
        <w:adjustRightInd/>
        <w:snapToGrid/>
        <w:spacing w:line="590" w:lineRule="exact"/>
        <w:ind w:firstLine="560" w:firstLineChars="200"/>
        <w:textAlignment w:val="auto"/>
        <w:rPr>
          <w:rFonts w:hint="eastAsia" w:asciiTheme="minorEastAsia" w:hAnsiTheme="minorEastAsia" w:eastAsiaTheme="minorEastAsia" w:cstheme="minorEastAsia"/>
          <w:color w:val="auto"/>
          <w:sz w:val="28"/>
          <w:szCs w:val="28"/>
        </w:rPr>
      </w:pPr>
      <w:r>
        <w:rPr>
          <w:rFonts w:hint="eastAsia" w:asciiTheme="minorEastAsia" w:hAnsiTheme="minorEastAsia" w:eastAsiaTheme="minorEastAsia" w:cstheme="minorEastAsia"/>
          <w:color w:val="auto"/>
          <w:sz w:val="28"/>
          <w:szCs w:val="28"/>
        </w:rPr>
        <w:t>项目在平台挂网公告中，欢迎意向客户报名竞投!详情请登录 https://tunchang.nongjiao.com/查看，以网站项目详情页为准。</w:t>
      </w:r>
    </w:p>
    <w:p w14:paraId="27C93056">
      <w:pPr>
        <w:pStyle w:val="6"/>
        <w:keepNext w:val="0"/>
        <w:keepLines w:val="0"/>
        <w:pageBreakBefore w:val="0"/>
        <w:widowControl w:val="0"/>
        <w:kinsoku/>
        <w:overflowPunct/>
        <w:topLinePunct w:val="0"/>
        <w:autoSpaceDE/>
        <w:autoSpaceDN/>
        <w:bidi w:val="0"/>
        <w:adjustRightInd/>
        <w:snapToGrid/>
        <w:spacing w:line="590" w:lineRule="exact"/>
        <w:ind w:left="0" w:leftChars="0" w:firstLine="0" w:firstLineChars="0"/>
        <w:jc w:val="both"/>
        <w:textAlignment w:val="auto"/>
        <w:rPr>
          <w:rFonts w:hint="eastAsia"/>
          <w:b/>
          <w:bCs/>
          <w:color w:val="auto"/>
          <w:sz w:val="28"/>
          <w:szCs w:val="36"/>
        </w:rPr>
      </w:pPr>
    </w:p>
    <w:p w14:paraId="2A9C0B32">
      <w:pPr>
        <w:pStyle w:val="6"/>
        <w:keepNext w:val="0"/>
        <w:keepLines w:val="0"/>
        <w:pageBreakBefore w:val="0"/>
        <w:widowControl w:val="0"/>
        <w:kinsoku/>
        <w:overflowPunct/>
        <w:topLinePunct w:val="0"/>
        <w:autoSpaceDE/>
        <w:autoSpaceDN/>
        <w:bidi w:val="0"/>
        <w:adjustRightInd/>
        <w:snapToGrid/>
        <w:spacing w:line="590" w:lineRule="exact"/>
        <w:ind w:left="0" w:leftChars="0" w:firstLine="562" w:firstLineChars="200"/>
        <w:jc w:val="both"/>
        <w:textAlignment w:val="auto"/>
        <w:rPr>
          <w:rFonts w:hint="eastAsia"/>
          <w:b/>
          <w:bCs/>
          <w:color w:val="auto"/>
          <w:sz w:val="28"/>
          <w:szCs w:val="36"/>
        </w:rPr>
      </w:pPr>
      <w:r>
        <w:rPr>
          <w:rFonts w:hint="eastAsia"/>
          <w:b/>
          <w:bCs/>
          <w:color w:val="auto"/>
          <w:sz w:val="28"/>
          <w:szCs w:val="36"/>
        </w:rPr>
        <w:t>已详细阅读此交易公示，对此交易公示内容无异议。</w:t>
      </w:r>
    </w:p>
    <w:p w14:paraId="318E0460">
      <w:pPr>
        <w:pStyle w:val="6"/>
        <w:keepNext w:val="0"/>
        <w:keepLines w:val="0"/>
        <w:pageBreakBefore w:val="0"/>
        <w:widowControl w:val="0"/>
        <w:kinsoku/>
        <w:overflowPunct/>
        <w:topLinePunct w:val="0"/>
        <w:autoSpaceDE/>
        <w:autoSpaceDN/>
        <w:bidi w:val="0"/>
        <w:adjustRightInd/>
        <w:snapToGrid/>
        <w:spacing w:line="590" w:lineRule="exact"/>
        <w:ind w:firstLine="562" w:firstLineChars="200"/>
        <w:jc w:val="right"/>
        <w:textAlignment w:val="auto"/>
        <w:rPr>
          <w:rFonts w:hint="eastAsia"/>
          <w:b/>
          <w:bCs/>
          <w:color w:val="auto"/>
          <w:sz w:val="28"/>
          <w:szCs w:val="36"/>
        </w:rPr>
      </w:pPr>
    </w:p>
    <w:p w14:paraId="1D3C857A">
      <w:pPr>
        <w:pStyle w:val="6"/>
        <w:keepNext w:val="0"/>
        <w:keepLines w:val="0"/>
        <w:pageBreakBefore w:val="0"/>
        <w:widowControl w:val="0"/>
        <w:kinsoku/>
        <w:wordWrap w:val="0"/>
        <w:overflowPunct/>
        <w:topLinePunct w:val="0"/>
        <w:autoSpaceDE/>
        <w:autoSpaceDN/>
        <w:bidi w:val="0"/>
        <w:adjustRightInd/>
        <w:snapToGrid/>
        <w:spacing w:line="590" w:lineRule="exact"/>
        <w:ind w:firstLine="562" w:firstLineChars="200"/>
        <w:jc w:val="center"/>
        <w:textAlignment w:val="auto"/>
        <w:rPr>
          <w:b/>
          <w:bCs/>
          <w:color w:val="auto"/>
          <w:sz w:val="28"/>
          <w:szCs w:val="36"/>
        </w:rPr>
      </w:pPr>
      <w:r>
        <w:rPr>
          <w:rFonts w:hint="eastAsia"/>
          <w:b/>
          <w:bCs/>
          <w:color w:val="auto"/>
          <w:sz w:val="28"/>
          <w:szCs w:val="36"/>
          <w:lang w:val="en-US" w:eastAsia="zh-CN"/>
        </w:rPr>
        <w:t xml:space="preserve">                             竞买方</w:t>
      </w:r>
      <w:r>
        <w:rPr>
          <w:rFonts w:hint="eastAsia"/>
          <w:b/>
          <w:bCs/>
          <w:color w:val="auto"/>
          <w:sz w:val="28"/>
          <w:szCs w:val="36"/>
        </w:rPr>
        <w:t>（</w:t>
      </w:r>
      <w:r>
        <w:rPr>
          <w:rFonts w:hint="eastAsia"/>
          <w:b/>
          <w:bCs/>
          <w:color w:val="auto"/>
          <w:sz w:val="28"/>
          <w:szCs w:val="36"/>
          <w:lang w:val="en-US" w:eastAsia="zh-CN"/>
        </w:rPr>
        <w:t>签</w:t>
      </w:r>
      <w:r>
        <w:rPr>
          <w:rFonts w:hint="eastAsia"/>
          <w:b/>
          <w:bCs/>
          <w:color w:val="auto"/>
          <w:sz w:val="28"/>
          <w:szCs w:val="36"/>
        </w:rPr>
        <w:t xml:space="preserve">章）：     </w:t>
      </w:r>
    </w:p>
    <w:p w14:paraId="5FCD391D">
      <w:pPr>
        <w:keepNext w:val="0"/>
        <w:keepLines w:val="0"/>
        <w:pageBreakBefore w:val="0"/>
        <w:widowControl w:val="0"/>
        <w:kinsoku/>
        <w:overflowPunct/>
        <w:topLinePunct w:val="0"/>
        <w:autoSpaceDE/>
        <w:autoSpaceDN/>
        <w:bidi w:val="0"/>
        <w:adjustRightInd/>
        <w:snapToGrid/>
        <w:spacing w:line="590" w:lineRule="exact"/>
        <w:ind w:firstLine="562" w:firstLineChars="200"/>
        <w:textAlignment w:val="auto"/>
        <w:rPr>
          <w:color w:val="auto"/>
        </w:rPr>
      </w:pPr>
      <w:r>
        <w:rPr>
          <w:rFonts w:hint="eastAsia"/>
          <w:b/>
          <w:bCs/>
          <w:color w:val="auto"/>
          <w:sz w:val="28"/>
          <w:szCs w:val="36"/>
        </w:rPr>
        <w:t xml:space="preserve">                         </w:t>
      </w:r>
      <w:r>
        <w:rPr>
          <w:rFonts w:hint="eastAsia"/>
          <w:b/>
          <w:bCs/>
          <w:color w:val="auto"/>
          <w:sz w:val="28"/>
          <w:szCs w:val="36"/>
          <w:lang w:val="en-US" w:eastAsia="zh-CN"/>
        </w:rPr>
        <w:t xml:space="preserve">       </w:t>
      </w:r>
      <w:r>
        <w:rPr>
          <w:rFonts w:hint="eastAsia"/>
          <w:b/>
          <w:bCs/>
          <w:color w:val="auto"/>
          <w:sz w:val="28"/>
          <w:szCs w:val="36"/>
        </w:rPr>
        <w:t xml:space="preserve">   </w:t>
      </w:r>
      <w:r>
        <w:rPr>
          <w:rFonts w:hint="eastAsia"/>
          <w:b/>
          <w:bCs/>
          <w:color w:val="auto"/>
          <w:sz w:val="28"/>
          <w:szCs w:val="36"/>
          <w:u w:val="single"/>
        </w:rPr>
        <w:t xml:space="preserve"> </w:t>
      </w:r>
      <w:r>
        <w:rPr>
          <w:rFonts w:hint="eastAsia"/>
          <w:b/>
          <w:bCs/>
          <w:color w:val="auto"/>
          <w:sz w:val="28"/>
          <w:szCs w:val="36"/>
          <w:u w:val="single"/>
          <w:lang w:val="en-US" w:eastAsia="zh-CN"/>
        </w:rPr>
        <w:t xml:space="preserve">    </w:t>
      </w:r>
      <w:r>
        <w:rPr>
          <w:rFonts w:hint="eastAsia"/>
          <w:b/>
          <w:bCs/>
          <w:color w:val="auto"/>
          <w:sz w:val="28"/>
          <w:szCs w:val="36"/>
        </w:rPr>
        <w:t>年</w:t>
      </w:r>
      <w:r>
        <w:rPr>
          <w:rFonts w:hint="eastAsia"/>
          <w:b/>
          <w:bCs/>
          <w:color w:val="auto"/>
          <w:sz w:val="28"/>
          <w:szCs w:val="36"/>
          <w:u w:val="single"/>
          <w:lang w:val="en-US" w:eastAsia="zh-CN"/>
        </w:rPr>
        <w:t xml:space="preserve">    </w:t>
      </w:r>
      <w:r>
        <w:rPr>
          <w:rFonts w:hint="eastAsia"/>
          <w:b/>
          <w:bCs/>
          <w:color w:val="auto"/>
          <w:sz w:val="28"/>
          <w:szCs w:val="36"/>
        </w:rPr>
        <w:t>月</w:t>
      </w:r>
      <w:r>
        <w:rPr>
          <w:rFonts w:hint="eastAsia"/>
          <w:b/>
          <w:bCs/>
          <w:color w:val="auto"/>
          <w:sz w:val="28"/>
          <w:szCs w:val="36"/>
          <w:u w:val="single"/>
          <w:lang w:val="en-US" w:eastAsia="zh-CN"/>
        </w:rPr>
        <w:t xml:space="preserve">    </w:t>
      </w:r>
      <w:r>
        <w:rPr>
          <w:rFonts w:hint="eastAsia"/>
          <w:b/>
          <w:bCs/>
          <w:color w:val="auto"/>
          <w:sz w:val="28"/>
          <w:szCs w:val="36"/>
        </w:rPr>
        <w:t xml:space="preserve">日  </w:t>
      </w:r>
    </w:p>
    <w:p w14:paraId="32F9712E">
      <w:pPr>
        <w:pStyle w:val="8"/>
        <w:rPr>
          <w:rFonts w:hint="eastAsia" w:eastAsiaTheme="minorEastAsia"/>
          <w:color w:val="auto"/>
          <w:lang w:eastAsia="zh-CN"/>
        </w:rPr>
      </w:pPr>
    </w:p>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roman"/>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embedRegular r:id="rId1" w:fontKey="{80C67D02-61AB-408D-8A90-A74E628CD9E3}"/>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_GB2312">
    <w:altName w:val="Segoe Print"/>
    <w:panose1 w:val="00000000000000000000"/>
    <w:charset w:val="00"/>
    <w:family w:val="auto"/>
    <w:pitch w:val="default"/>
    <w:sig w:usb0="00000000" w:usb1="00000000" w:usb2="00000000" w:usb3="00000000" w:csb0="00000001" w:csb1="00000000"/>
  </w:font>
  <w:font w:name="Segoe Print">
    <w:panose1 w:val="02000600000000000000"/>
    <w:charset w:val="00"/>
    <w:family w:val="auto"/>
    <w:pitch w:val="default"/>
    <w:sig w:usb0="0000028F" w:usb1="00000000" w:usb2="00000000" w:usb3="00000000" w:csb0="2000009F" w:csb1="47010000"/>
  </w:font>
  <w:font w:name="新宋体">
    <w:panose1 w:val="02010609030101010101"/>
    <w:charset w:val="86"/>
    <w:family w:val="modern"/>
    <w:pitch w:val="default"/>
    <w:sig w:usb0="00000203" w:usb1="288F0000" w:usb2="00000006" w:usb3="00000000" w:csb0="00040001" w:csb1="00000000"/>
    <w:embedRegular r:id="rId2" w:fontKey="{2D272F7A-2B33-49DC-9033-388D92F63081}"/>
  </w:font>
  <w:font w:name="仿宋_GB2312">
    <w:panose1 w:val="02010609030101010101"/>
    <w:charset w:val="86"/>
    <w:family w:val="modern"/>
    <w:pitch w:val="default"/>
    <w:sig w:usb0="00000001" w:usb1="080E0000" w:usb2="00000000" w:usb3="00000000" w:csb0="00040000" w:csb1="00000000"/>
    <w:embedRegular r:id="rId3" w:fontKey="{728B1CE5-5434-45AC-928E-6C8FF0E8CFCF}"/>
  </w:font>
  <w:font w:name="方正小标宋简体">
    <w:panose1 w:val="02000000000000000000"/>
    <w:charset w:val="86"/>
    <w:family w:val="auto"/>
    <w:pitch w:val="default"/>
    <w:sig w:usb0="00000001" w:usb1="08000000" w:usb2="00000000" w:usb3="00000000" w:csb0="00040000" w:csb1="00000000"/>
    <w:embedRegular r:id="rId4" w:fontKey="{37CC6199-038E-4DD2-BB49-0F79749B654D}"/>
  </w:font>
  <w:font w:name="WPSEMBED2">
    <w:panose1 w:val="02000000000000000000"/>
    <w:charset w:val="86"/>
    <w:family w:val="auto"/>
    <w:pitch w:val="default"/>
    <w:sig w:usb0="00000001" w:usb1="08000000" w:usb2="0000000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4E9FDB2">
    <w:pPr>
      <w:pStyle w:val="9"/>
    </w:pPr>
    <w:r>
      <w:rPr>
        <w:sz w:val="18"/>
      </w:rPr>
      <mc:AlternateContent>
        <mc:Choice Requires="wps">
          <w:drawing>
            <wp:anchor distT="0" distB="0" distL="114300" distR="114300" simplePos="0" relativeHeight="251659264" behindDoc="0" locked="0" layoutInCell="1" allowOverlap="1">
              <wp:simplePos x="0" y="0"/>
              <wp:positionH relativeFrom="margin">
                <wp:align>center</wp:align>
              </wp:positionH>
              <wp:positionV relativeFrom="paragraph">
                <wp:posOffset>0</wp:posOffset>
              </wp:positionV>
              <wp:extent cx="1828800" cy="1828800"/>
              <wp:effectExtent l="0" t="0" r="0" b="0"/>
              <wp:wrapNone/>
              <wp:docPr id="1" name="文本框 1"/>
              <wp:cNvGraphicFramePr/>
              <a:graphic xmlns:a="http://schemas.openxmlformats.org/drawingml/2006/main">
                <a:graphicData uri="http://schemas.microsoft.com/office/word/2010/wordprocessingShape">
                  <wps:wsp>
                    <wps:cNvSpPr txBox="1"/>
                    <wps:spPr>
                      <a:xfrm>
                        <a:off x="0" y="0"/>
                        <a:ext cx="1828800" cy="1828800"/>
                      </a:xfrm>
                      <a:prstGeom prst="rect">
                        <a:avLst/>
                      </a:prstGeom>
                      <a:noFill/>
                      <a:ln w="6350">
                        <a:noFill/>
                      </a:ln>
                    </wps:spPr>
                    <wps:style>
                      <a:lnRef idx="0">
                        <a:schemeClr val="accent1"/>
                      </a:lnRef>
                      <a:fillRef idx="0">
                        <a:schemeClr val="accent1"/>
                      </a:fillRef>
                      <a:effectRef idx="0">
                        <a:schemeClr val="accent1"/>
                      </a:effectRef>
                      <a:fontRef idx="minor">
                        <a:schemeClr val="dk1"/>
                      </a:fontRef>
                    </wps:style>
                    <wps:txbx>
                      <w:txbxContent>
                        <w:p w14:paraId="4FCB2653">
                          <w:pPr>
                            <w:pStyle w:val="9"/>
                          </w:pPr>
                          <w:r>
                            <w:fldChar w:fldCharType="begin"/>
                          </w:r>
                          <w:r>
                            <w:instrText xml:space="preserve"> PAGE  \* MERGEFORMAT </w:instrText>
                          </w:r>
                          <w:r>
                            <w:fldChar w:fldCharType="separate"/>
                          </w:r>
                          <w:r>
                            <w:t>1</w:t>
                          </w:r>
                          <w:r>
                            <w:fldChar w:fldCharType="end"/>
                          </w:r>
                        </w:p>
                      </w:txbxContent>
                    </wps:txbx>
                    <wps:bodyPr rot="0" spcFirstLastPara="0" vertOverflow="overflow" horzOverflow="overflow" vert="horz" wrap="none" lIns="0" tIns="0" rIns="0" bIns="0" numCol="1" spcCol="0" rtlCol="0" fromWordArt="0" anchor="t" anchorCtr="0" forceAA="0" upright="0" compatLnSpc="1">
                      <a:spAutoFit/>
                    </wps:bodyPr>
                  </wps:wsp>
                </a:graphicData>
              </a:graphic>
            </wp:anchor>
          </w:drawing>
        </mc:Choice>
        <mc:Fallback>
          <w:pict>
            <v:shape id="_x0000_s1026" o:spid="_x0000_s1026" o:spt="202" type="#_x0000_t202" style="position:absolute;left:0pt;margin-top:0pt;height:144pt;width:144pt;mso-position-horizontal:center;mso-position-horizontal-relative:margin;mso-wrap-style:none;z-index:251659264;mso-width-relative:page;mso-height-relative:page;" filled="f" stroked="f" coordsize="21600,21600" o:gfxdata="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">
              <v:fill on="f" focussize="0,0"/>
              <v:stroke on="f" weight="0.5pt"/>
              <v:imagedata o:title=""/>
              <o:lock v:ext="edit" aspectratio="f"/>
              <v:textbox inset="0mm,0mm,0mm,0mm" style="mso-fit-shape-to-text:t;">
                <w:txbxContent>
                  <w:p w14:paraId="4FCB2653">
                    <w:pPr>
                      <w:pStyle w:val="9"/>
                    </w:pPr>
                    <w:r>
                      <w:fldChar w:fldCharType="begin"/>
                    </w:r>
                    <w:r>
                      <w:instrText xml:space="preserve"> PAGE  \* MERGEFORMAT </w:instrText>
                    </w:r>
                    <w:r>
                      <w:fldChar w:fldCharType="separate"/>
                    </w:r>
                    <w:r>
                      <w:t>1</w:t>
                    </w:r>
                    <w:r>
                      <w:fldChar w:fldCharType="end"/>
                    </w:r>
                  </w:p>
                </w:txbxContent>
              </v:textbox>
            </v:shape>
          </w:pict>
        </mc:Fallback>
      </mc:AlternateContent>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480170C7">
    <w:pPr>
      <w:pStyle w:val="10"/>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26951A27"/>
    <w:multiLevelType w:val="singleLevel"/>
    <w:tmpl w:val="26951A27"/>
    <w:lvl w:ilvl="0" w:tentative="0">
      <w:start w:val="1"/>
      <w:numFmt w:val="chineseCounting"/>
      <w:suff w:val="nothing"/>
      <w:lvlText w:val="%1、"/>
      <w:lvlJc w:val="left"/>
      <w:rPr>
        <w:rFonts w:hint="eastAsia"/>
      </w:rPr>
    </w:lvl>
  </w:abstractNum>
  <w:abstractNum w:abstractNumId="1">
    <w:nsid w:val="37D6132D"/>
    <w:multiLevelType w:val="singleLevel"/>
    <w:tmpl w:val="37D6132D"/>
    <w:lvl w:ilvl="0" w:tentative="0">
      <w:start w:val="2"/>
      <w:numFmt w:val="decimal"/>
      <w:suff w:val="nothing"/>
      <w:lvlText w:val="%1、"/>
      <w:lvlJc w:val="left"/>
    </w:lvl>
  </w:abstractNum>
  <w:abstractNum w:abstractNumId="2">
    <w:nsid w:val="53B4F8FB"/>
    <w:multiLevelType w:val="singleLevel"/>
    <w:tmpl w:val="53B4F8FB"/>
    <w:lvl w:ilvl="0" w:tentative="0">
      <w:start w:val="1"/>
      <w:numFmt w:val="chineseCounting"/>
      <w:suff w:val="nothing"/>
      <w:lvlText w:val="%1、"/>
      <w:lvlJc w:val="left"/>
      <w:rPr>
        <w:rFonts w:hint="eastAsia" w:ascii="宋体" w:hAnsi="宋体" w:eastAsia="宋体" w:cs="宋体"/>
        <w:b/>
        <w:bCs/>
        <w:color w:val="000000" w:themeColor="text1"/>
        <w:sz w:val="28"/>
        <w:szCs w:val="28"/>
        <w14:textFill>
          <w14:solidFill>
            <w14:schemeClr w14:val="tx1"/>
          </w14:solidFill>
        </w14:textFill>
      </w:rPr>
    </w:lvl>
  </w:abstractNum>
  <w:num w:numId="1">
    <w:abstractNumId w:val="2"/>
  </w:num>
  <w:num w:numId="2">
    <w:abstractNumId w:val="1"/>
  </w:num>
  <w:num w:numId="3">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20"/>
  <w:embedTrueTypeFonts/>
  <w:saveSubsetFonts/>
  <w:bordersDoNotSurroundHeader w:val="0"/>
  <w:bordersDoNotSurroundFooter w:val="0"/>
  <w:documentProtection w:enforcement="0"/>
  <w:defaultTabStop w:val="42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NzVkODQ0YmViZGVjNGM4Y2VlODQ3MTAxOGU0MzYyNmIifQ=="/>
    <w:docVar w:name="KSO_WPS_MARK_KEY" w:val="a071b07a-f89d-47b9-a9e7-8c7759051b1b"/>
  </w:docVars>
  <w:rsids>
    <w:rsidRoot w:val="00125DA0"/>
    <w:rsid w:val="00075E67"/>
    <w:rsid w:val="00125DA0"/>
    <w:rsid w:val="00167AC6"/>
    <w:rsid w:val="00B57B36"/>
    <w:rsid w:val="00CD7376"/>
    <w:rsid w:val="00E03B4E"/>
    <w:rsid w:val="00E541D7"/>
    <w:rsid w:val="02670C2E"/>
    <w:rsid w:val="03F37316"/>
    <w:rsid w:val="042277FF"/>
    <w:rsid w:val="07B63111"/>
    <w:rsid w:val="08803584"/>
    <w:rsid w:val="08C35008"/>
    <w:rsid w:val="0A8721A0"/>
    <w:rsid w:val="0B7B2128"/>
    <w:rsid w:val="0B985CD3"/>
    <w:rsid w:val="0D0E73B0"/>
    <w:rsid w:val="0E564FED"/>
    <w:rsid w:val="0E68572F"/>
    <w:rsid w:val="0E844FD8"/>
    <w:rsid w:val="0E9816ED"/>
    <w:rsid w:val="102F0E28"/>
    <w:rsid w:val="10396E71"/>
    <w:rsid w:val="11DE52CB"/>
    <w:rsid w:val="150A3847"/>
    <w:rsid w:val="164D1EE7"/>
    <w:rsid w:val="167442F9"/>
    <w:rsid w:val="18E10F33"/>
    <w:rsid w:val="1A0C35CC"/>
    <w:rsid w:val="1C3F00EA"/>
    <w:rsid w:val="2163678E"/>
    <w:rsid w:val="21D0732F"/>
    <w:rsid w:val="2371316C"/>
    <w:rsid w:val="23C4301C"/>
    <w:rsid w:val="23C7578D"/>
    <w:rsid w:val="24475A26"/>
    <w:rsid w:val="264204D7"/>
    <w:rsid w:val="2741574C"/>
    <w:rsid w:val="285A0FDC"/>
    <w:rsid w:val="2C765212"/>
    <w:rsid w:val="2D2D1D13"/>
    <w:rsid w:val="2DC931AE"/>
    <w:rsid w:val="2E1172D3"/>
    <w:rsid w:val="30B56AE1"/>
    <w:rsid w:val="32375E5F"/>
    <w:rsid w:val="327E6635"/>
    <w:rsid w:val="32F36A04"/>
    <w:rsid w:val="3516702D"/>
    <w:rsid w:val="356B5D48"/>
    <w:rsid w:val="37E601A9"/>
    <w:rsid w:val="382927E2"/>
    <w:rsid w:val="386E6406"/>
    <w:rsid w:val="39204F82"/>
    <w:rsid w:val="3A7A2C02"/>
    <w:rsid w:val="3A9F7B13"/>
    <w:rsid w:val="3C790024"/>
    <w:rsid w:val="3EE84C2D"/>
    <w:rsid w:val="3F171CEB"/>
    <w:rsid w:val="3F595A04"/>
    <w:rsid w:val="402266F3"/>
    <w:rsid w:val="412C3FBC"/>
    <w:rsid w:val="43315BEC"/>
    <w:rsid w:val="433672AA"/>
    <w:rsid w:val="43AD1C7C"/>
    <w:rsid w:val="43CA2EA3"/>
    <w:rsid w:val="43E145E7"/>
    <w:rsid w:val="44912C24"/>
    <w:rsid w:val="4750030C"/>
    <w:rsid w:val="47C03328"/>
    <w:rsid w:val="48601C27"/>
    <w:rsid w:val="4C122427"/>
    <w:rsid w:val="4D440E1C"/>
    <w:rsid w:val="4DC33073"/>
    <w:rsid w:val="4E3F7559"/>
    <w:rsid w:val="4ECE0172"/>
    <w:rsid w:val="4F7769ED"/>
    <w:rsid w:val="51516E47"/>
    <w:rsid w:val="51A46EB2"/>
    <w:rsid w:val="52531DCC"/>
    <w:rsid w:val="52E5627D"/>
    <w:rsid w:val="55951045"/>
    <w:rsid w:val="56073B1A"/>
    <w:rsid w:val="5774562F"/>
    <w:rsid w:val="5CF93C67"/>
    <w:rsid w:val="5E084751"/>
    <w:rsid w:val="6180235A"/>
    <w:rsid w:val="61A86601"/>
    <w:rsid w:val="62AC763E"/>
    <w:rsid w:val="64515E2E"/>
    <w:rsid w:val="64D61FAB"/>
    <w:rsid w:val="65405808"/>
    <w:rsid w:val="66C801A8"/>
    <w:rsid w:val="67281D31"/>
    <w:rsid w:val="69462C0F"/>
    <w:rsid w:val="6C0E3CC0"/>
    <w:rsid w:val="6C2445E8"/>
    <w:rsid w:val="6E49135B"/>
    <w:rsid w:val="6F71073E"/>
    <w:rsid w:val="730A3838"/>
    <w:rsid w:val="73ED1367"/>
    <w:rsid w:val="77E20C53"/>
    <w:rsid w:val="786A7F85"/>
    <w:rsid w:val="791505B4"/>
    <w:rsid w:val="7A24720F"/>
    <w:rsid w:val="7A7C6A82"/>
    <w:rsid w:val="7BFC47DB"/>
    <w:rsid w:val="7E05604E"/>
    <w:rsid w:val="7E691B98"/>
    <w:rsid w:val="7EA14B4B"/>
    <w:rsid w:val="7EC1633B"/>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mc:AlternateContent>
    <mc:Choice Requires="wpsCustomData">
      <wpsCustomData:typoFeatureVersion val="0"/>
    </mc:Choice>
  </mc:AlternateContent>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iPriority="9" w:semiHidden="0" w:name="heading 3"/>
    <w:lsdException w:qFormat="1" w:unhideWhenUsed="0" w:uiPriority="0" w:semiHidden="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qFormat="1" w:unhideWhenUsed="0" w:uiPriority="0" w:semiHidden="0" w:name="Normal Indent"/>
    <w:lsdException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qFormat="1" w:uiPriority="1" w:name="Default Paragraph Font"/>
    <w:lsdException w:qFormat="1"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qFormat="1"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qFormat="1"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next w:val="2"/>
    <w:qFormat/>
    <w:uiPriority w:val="0"/>
    <w:pPr>
      <w:widowControl w:val="0"/>
      <w:jc w:val="both"/>
    </w:pPr>
    <w:rPr>
      <w:rFonts w:asciiTheme="minorHAnsi" w:hAnsiTheme="minorHAnsi" w:eastAsiaTheme="minorEastAsia" w:cstheme="minorBidi"/>
      <w:kern w:val="2"/>
      <w:sz w:val="21"/>
      <w:szCs w:val="24"/>
      <w:lang w:val="en-US" w:eastAsia="zh-CN" w:bidi="ar-SA"/>
    </w:rPr>
  </w:style>
  <w:style w:type="paragraph" w:styleId="3">
    <w:name w:val="heading 2"/>
    <w:basedOn w:val="1"/>
    <w:next w:val="1"/>
    <w:qFormat/>
    <w:uiPriority w:val="0"/>
    <w:pPr>
      <w:keepNext/>
      <w:keepLines/>
      <w:spacing w:before="260" w:after="260" w:line="413" w:lineRule="auto"/>
      <w:jc w:val="center"/>
      <w:outlineLvl w:val="1"/>
    </w:pPr>
    <w:rPr>
      <w:rFonts w:ascii="Cambria" w:hAnsi="Cambria" w:eastAsia="黑体"/>
      <w:b/>
      <w:kern w:val="0"/>
      <w:sz w:val="36"/>
      <w:szCs w:val="20"/>
    </w:rPr>
  </w:style>
  <w:style w:type="paragraph" w:styleId="4">
    <w:name w:val="heading 3"/>
    <w:basedOn w:val="1"/>
    <w:next w:val="1"/>
    <w:unhideWhenUsed/>
    <w:qFormat/>
    <w:uiPriority w:val="9"/>
    <w:pPr>
      <w:keepNext/>
      <w:keepLines/>
      <w:spacing w:before="260" w:after="260" w:line="416" w:lineRule="auto"/>
      <w:outlineLvl w:val="2"/>
    </w:pPr>
    <w:rPr>
      <w:b/>
      <w:bCs/>
      <w:sz w:val="32"/>
      <w:szCs w:val="32"/>
    </w:rPr>
  </w:style>
  <w:style w:type="paragraph" w:styleId="5">
    <w:name w:val="heading 4"/>
    <w:basedOn w:val="1"/>
    <w:next w:val="1"/>
    <w:qFormat/>
    <w:uiPriority w:val="0"/>
    <w:pPr>
      <w:keepNext/>
      <w:keepLines/>
      <w:spacing w:before="280" w:after="290" w:line="372" w:lineRule="auto"/>
      <w:outlineLvl w:val="3"/>
    </w:pPr>
    <w:rPr>
      <w:rFonts w:ascii="Arial" w:hAnsi="Arial" w:eastAsia="黑体"/>
      <w:b/>
      <w:sz w:val="28"/>
    </w:rPr>
  </w:style>
  <w:style w:type="character" w:default="1" w:styleId="13">
    <w:name w:val="Default Paragraph Font"/>
    <w:semiHidden/>
    <w:unhideWhenUsed/>
    <w:qFormat/>
    <w:uiPriority w:val="1"/>
  </w:style>
  <w:style w:type="table" w:default="1" w:styleId="12">
    <w:name w:val="Normal Table"/>
    <w:semiHidden/>
    <w:unhideWhenUsed/>
    <w:qFormat/>
    <w:uiPriority w:val="99"/>
    <w:tblPr>
      <w:tblCellMar>
        <w:top w:w="0" w:type="dxa"/>
        <w:left w:w="108" w:type="dxa"/>
        <w:bottom w:w="0" w:type="dxa"/>
        <w:right w:w="108" w:type="dxa"/>
      </w:tblCellMar>
    </w:tblPr>
  </w:style>
  <w:style w:type="paragraph" w:styleId="2">
    <w:name w:val="Message Header"/>
    <w:basedOn w:val="1"/>
    <w:next w:val="1"/>
    <w:qFormat/>
    <w:uiPriority w:val="0"/>
    <w:pPr>
      <w:pBdr>
        <w:top w:val="none" w:color="auto" w:sz="0" w:space="1"/>
        <w:left w:val="none" w:color="auto" w:sz="0" w:space="1"/>
        <w:bottom w:val="none" w:color="auto" w:sz="0" w:space="1"/>
        <w:right w:val="none" w:color="auto" w:sz="0" w:space="1"/>
      </w:pBdr>
      <w:ind w:left="1080" w:leftChars="500" w:hanging="1080" w:hangingChars="500"/>
    </w:pPr>
    <w:rPr>
      <w:rFonts w:ascii="Arial" w:hAnsi="Arial"/>
      <w:sz w:val="24"/>
    </w:rPr>
  </w:style>
  <w:style w:type="paragraph" w:styleId="6">
    <w:name w:val="Normal Indent"/>
    <w:basedOn w:val="1"/>
    <w:qFormat/>
    <w:uiPriority w:val="0"/>
    <w:pPr>
      <w:ind w:firstLine="420"/>
    </w:pPr>
    <w:rPr>
      <w:rFonts w:ascii="Verdana" w:hAnsi="Verdana"/>
      <w:szCs w:val="20"/>
    </w:rPr>
  </w:style>
  <w:style w:type="paragraph" w:styleId="7">
    <w:name w:val="annotation text"/>
    <w:basedOn w:val="1"/>
    <w:qFormat/>
    <w:uiPriority w:val="0"/>
    <w:pPr>
      <w:jc w:val="left"/>
    </w:pPr>
  </w:style>
  <w:style w:type="paragraph" w:styleId="8">
    <w:name w:val="Body Text"/>
    <w:basedOn w:val="1"/>
    <w:qFormat/>
    <w:uiPriority w:val="0"/>
    <w:pPr>
      <w:spacing w:after="120"/>
    </w:pPr>
  </w:style>
  <w:style w:type="paragraph" w:styleId="9">
    <w:name w:val="footer"/>
    <w:basedOn w:val="1"/>
    <w:link w:val="20"/>
    <w:qFormat/>
    <w:uiPriority w:val="0"/>
    <w:pPr>
      <w:tabs>
        <w:tab w:val="center" w:pos="4153"/>
        <w:tab w:val="right" w:pos="8306"/>
      </w:tabs>
      <w:snapToGrid w:val="0"/>
      <w:jc w:val="left"/>
    </w:pPr>
    <w:rPr>
      <w:sz w:val="18"/>
      <w:szCs w:val="18"/>
    </w:rPr>
  </w:style>
  <w:style w:type="paragraph" w:styleId="10">
    <w:name w:val="header"/>
    <w:basedOn w:val="1"/>
    <w:link w:val="19"/>
    <w:qFormat/>
    <w:uiPriority w:val="0"/>
    <w:pPr>
      <w:tabs>
        <w:tab w:val="center" w:pos="4153"/>
        <w:tab w:val="right" w:pos="8306"/>
      </w:tabs>
      <w:snapToGrid w:val="0"/>
      <w:jc w:val="center"/>
    </w:pPr>
    <w:rPr>
      <w:sz w:val="18"/>
      <w:szCs w:val="18"/>
    </w:rPr>
  </w:style>
  <w:style w:type="paragraph" w:styleId="11">
    <w:name w:val="Normal (Web)"/>
    <w:basedOn w:val="1"/>
    <w:qFormat/>
    <w:uiPriority w:val="0"/>
    <w:pPr>
      <w:spacing w:beforeAutospacing="1" w:afterAutospacing="1"/>
      <w:jc w:val="left"/>
    </w:pPr>
    <w:rPr>
      <w:rFonts w:cs="Times New Roman"/>
      <w:kern w:val="0"/>
      <w:sz w:val="24"/>
    </w:rPr>
  </w:style>
  <w:style w:type="character" w:styleId="14">
    <w:name w:val="Strong"/>
    <w:basedOn w:val="13"/>
    <w:qFormat/>
    <w:uiPriority w:val="0"/>
    <w:rPr>
      <w:b/>
    </w:rPr>
  </w:style>
  <w:style w:type="character" w:customStyle="1" w:styleId="15">
    <w:name w:val="标题4 Char"/>
    <w:link w:val="16"/>
    <w:qFormat/>
    <w:locked/>
    <w:uiPriority w:val="0"/>
    <w:rPr>
      <w:rFonts w:eastAsia="宋体"/>
      <w:kern w:val="0"/>
      <w:sz w:val="36"/>
      <w:szCs w:val="20"/>
    </w:rPr>
  </w:style>
  <w:style w:type="paragraph" w:customStyle="1" w:styleId="16">
    <w:name w:val="标题4"/>
    <w:basedOn w:val="5"/>
    <w:link w:val="15"/>
    <w:qFormat/>
    <w:uiPriority w:val="0"/>
    <w:rPr>
      <w:rFonts w:eastAsia="宋体"/>
      <w:kern w:val="0"/>
      <w:sz w:val="36"/>
      <w:szCs w:val="20"/>
    </w:rPr>
  </w:style>
  <w:style w:type="paragraph" w:customStyle="1" w:styleId="17">
    <w:name w:val="样式 标题 1 + 首行缩进:  2 字符"/>
    <w:next w:val="1"/>
    <w:qFormat/>
    <w:uiPriority w:val="0"/>
    <w:pPr>
      <w:widowControl w:val="0"/>
      <w:jc w:val="both"/>
    </w:pPr>
    <w:rPr>
      <w:rFonts w:ascii="??_GB2312" w:hAnsi="Times New Roman" w:eastAsia="Times New Roman" w:cs="Times New Roman"/>
      <w:bCs/>
      <w:kern w:val="2"/>
      <w:sz w:val="21"/>
      <w:szCs w:val="44"/>
      <w:lang w:val="en-US" w:eastAsia="zh-CN" w:bidi="ar-SA"/>
    </w:rPr>
  </w:style>
  <w:style w:type="paragraph" w:customStyle="1" w:styleId="18">
    <w:name w:val="WPSOffice手动目录 1"/>
    <w:qFormat/>
    <w:uiPriority w:val="0"/>
    <w:rPr>
      <w:rFonts w:asciiTheme="minorHAnsi" w:hAnsiTheme="minorHAnsi" w:eastAsiaTheme="minorEastAsia" w:cstheme="minorBidi"/>
      <w:lang w:val="en-US" w:eastAsia="zh-CN" w:bidi="ar-SA"/>
    </w:rPr>
  </w:style>
  <w:style w:type="character" w:customStyle="1" w:styleId="19">
    <w:name w:val="页眉 字符"/>
    <w:basedOn w:val="13"/>
    <w:link w:val="10"/>
    <w:qFormat/>
    <w:uiPriority w:val="0"/>
    <w:rPr>
      <w:rFonts w:asciiTheme="minorHAnsi" w:hAnsiTheme="minorHAnsi" w:eastAsiaTheme="minorEastAsia" w:cstheme="minorBidi"/>
      <w:kern w:val="2"/>
      <w:sz w:val="18"/>
      <w:szCs w:val="18"/>
    </w:rPr>
  </w:style>
  <w:style w:type="character" w:customStyle="1" w:styleId="20">
    <w:name w:val="页脚 字符"/>
    <w:basedOn w:val="13"/>
    <w:link w:val="9"/>
    <w:qFormat/>
    <w:uiPriority w:val="0"/>
    <w:rPr>
      <w:rFonts w:asciiTheme="minorHAnsi" w:hAnsiTheme="minorHAnsi" w:eastAsiaTheme="minorEastAsia" w:cstheme="minorBidi"/>
      <w:kern w:val="2"/>
      <w:sz w:val="18"/>
      <w:szCs w:val="18"/>
    </w:rPr>
  </w:style>
</w:style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7" Type="http://schemas.openxmlformats.org/officeDocument/2006/relationships/numbering" Target="numbering.xml"/><Relationship Id="rId6" Type="http://schemas.openxmlformats.org/officeDocument/2006/relationships/customXml" Target="../customXml/item1.xml"/><Relationship Id="rId5" Type="http://schemas.openxmlformats.org/officeDocument/2006/relationships/theme" Target="theme/theme1.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_rels/fontTable.xml.rels><?xml version="1.0" encoding="UTF-8" standalone="yes"?>
<Relationships xmlns="http://schemas.openxmlformats.org/package/2006/relationships"><Relationship Id="rId4" Type="http://schemas.openxmlformats.org/officeDocument/2006/relationships/font" Target="fonts/font4.odttf"/><Relationship Id="rId3" Type="http://schemas.openxmlformats.org/officeDocument/2006/relationships/font" Target="fonts/font3.odttf"/><Relationship Id="rId2" Type="http://schemas.openxmlformats.org/officeDocument/2006/relationships/font" Target="fonts/font2.odttf"/><Relationship Id="rId1" Type="http://schemas.openxmlformats.org/officeDocument/2006/relationships/font" Target="fonts/font1.odttf"/></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ops>
  <customShpExts>
    <customShpInfo spid="_x0000_s1026" textRotate="1"/>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15</Pages>
  <Words>6496</Words>
  <Characters>6916</Characters>
  <Lines>59</Lines>
  <Paragraphs>16</Paragraphs>
  <TotalTime>133</TotalTime>
  <ScaleCrop>false</ScaleCrop>
  <LinksUpToDate>false</LinksUpToDate>
  <CharactersWithSpaces>7486</CharactersWithSpaces>
  <Application>WPS Office_12.1.0.25865_F1E327BC-269C-435d-A152-05C5408002CA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2024-02-19T06:17:00Z</dcterms:created>
  <dc:creator>Administrator</dc:creator>
  <cp:lastModifiedBy>叫醒耳朵</cp:lastModifiedBy>
  <cp:lastPrinted>2025-08-15T02:40:00Z</cp:lastPrinted>
  <dcterms:modified xsi:type="dcterms:W3CDTF">2026-05-19T01:54:08Z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2052-12.1.0.25865</vt:lpwstr>
  </property>
  <property fmtid="{D5CDD505-2E9C-101B-9397-08002B2CF9AE}" pid="3" name="ICV">
    <vt:lpwstr>795651E5405945A38BBC48377889B9E6_13</vt:lpwstr>
  </property>
  <property fmtid="{D5CDD505-2E9C-101B-9397-08002B2CF9AE}" pid="4" name="KSOTemplateDocerSaveRecord">
    <vt:lpwstr>eyJoZGlkIjoiMTlkZDU4ZTU5ZWQ4Zjk0OTJiMzg5OTZkYzE3YjZiMTMiLCJ1c2VySWQiOiI5ODE2OTMzOTYifQ==</vt:lpwstr>
  </property>
</Properties>
</file>