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0910"/>
      <w:bookmarkStart w:id="3" w:name="_Toc24454"/>
      <w:bookmarkStart w:id="4" w:name="_Toc15737"/>
      <w:bookmarkStart w:id="5" w:name="_Toc32320"/>
      <w:bookmarkStart w:id="6" w:name="_Toc11918"/>
      <w:bookmarkStart w:id="7" w:name="_Toc21762"/>
      <w:bookmarkStart w:id="8" w:name="_Toc25712"/>
      <w:bookmarkStart w:id="9" w:name="_Toc8396"/>
      <w:bookmarkStart w:id="10" w:name="_Toc24068"/>
      <w:bookmarkStart w:id="11" w:name="_Toc20033"/>
      <w:bookmarkStart w:id="12" w:name="_Toc13462"/>
      <w:bookmarkStart w:id="13" w:name="_Toc12789"/>
      <w:bookmarkStart w:id="14" w:name="_Toc7615"/>
      <w:bookmarkStart w:id="15" w:name="_Toc2900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海南省农垦投资控股集团有限公司共4辆公务车转让处置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D43AF9F">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3251B16B">
      <w:pPr>
        <w:spacing w:line="520" w:lineRule="exact"/>
        <w:jc w:val="left"/>
        <w:rPr>
          <w:rFonts w:hint="eastAsia" w:ascii="新宋体" w:hAnsi="新宋体" w:eastAsia="新宋体" w:cs="Times New Roman"/>
          <w:b/>
          <w:bCs/>
          <w:color w:val="auto"/>
          <w:sz w:val="28"/>
          <w:szCs w:val="28"/>
          <w:lang w:val="en-US" w:eastAsia="zh-CN"/>
        </w:rPr>
      </w:pPr>
      <w:bookmarkStart w:id="36" w:name="_GoBack"/>
      <w:bookmarkEnd w:id="36"/>
      <w:r>
        <w:rPr>
          <w:rFonts w:hint="eastAsia" w:ascii="新宋体" w:hAnsi="新宋体" w:eastAsia="新宋体" w:cs="Times New Roman"/>
          <w:b/>
          <w:bCs/>
          <w:color w:val="auto"/>
          <w:sz w:val="28"/>
          <w:szCs w:val="28"/>
          <w:lang w:val="en-US" w:eastAsia="zh-CN"/>
        </w:rPr>
        <w:drawing>
          <wp:anchor distT="0" distB="0" distL="114300" distR="114300" simplePos="0" relativeHeight="251664384" behindDoc="0" locked="0" layoutInCell="1" allowOverlap="1">
            <wp:simplePos x="0" y="0"/>
            <wp:positionH relativeFrom="column">
              <wp:posOffset>-6350</wp:posOffset>
            </wp:positionH>
            <wp:positionV relativeFrom="paragraph">
              <wp:posOffset>137160</wp:posOffset>
            </wp:positionV>
            <wp:extent cx="5269230" cy="2219960"/>
            <wp:effectExtent l="0" t="0" r="1270" b="2540"/>
            <wp:wrapNone/>
            <wp:docPr id="3" name="图片 3" descr="75257028-c78f-4e18-a27b-1baf4396f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5257028-c78f-4e18-a27b-1baf4396f820"/>
                    <pic:cNvPicPr>
                      <a:picLocks noChangeAspect="1"/>
                    </pic:cNvPicPr>
                  </pic:nvPicPr>
                  <pic:blipFill>
                    <a:blip r:embed="rId4"/>
                    <a:stretch>
                      <a:fillRect/>
                    </a:stretch>
                  </pic:blipFill>
                  <pic:spPr>
                    <a:xfrm>
                      <a:off x="0" y="0"/>
                      <a:ext cx="5269230" cy="2219960"/>
                    </a:xfrm>
                    <a:prstGeom prst="rect">
                      <a:avLst/>
                    </a:prstGeom>
                  </pic:spPr>
                </pic:pic>
              </a:graphicData>
            </a:graphic>
          </wp:anchor>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海南省农垦投资控股集团有限公司共4辆公务车转让处置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海南省农垦投资控股集团有限公司共4辆公务车转让处置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海南省农垦投资控股集团有限公司共4辆公务车转让处置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海南省农垦投资控股集团有限公司共4辆公务车转让处置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4580"/>
      <w:bookmarkStart w:id="30" w:name="_Toc14469"/>
      <w:bookmarkStart w:id="31" w:name="_Toc11237"/>
      <w:bookmarkStart w:id="32" w:name="_Toc29841"/>
      <w:bookmarkStart w:id="33" w:name="_Toc3210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海南省农垦投资控股集团有限公司共4辆公务车转让处置交易</w:t>
      </w:r>
      <w:r>
        <w:rPr>
          <w:rFonts w:hint="eastAsia" w:ascii="方正小标宋_GBK" w:hAnsi="方正小标宋_GBK" w:eastAsia="方正小标宋_GBK" w:cs="方正小标宋_GBK"/>
          <w:b/>
          <w:bCs/>
          <w:color w:val="auto"/>
          <w:sz w:val="36"/>
          <w:szCs w:val="36"/>
        </w:rPr>
        <w:t>公示</w:t>
      </w:r>
    </w:p>
    <w:p w14:paraId="12AF69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经海南省农垦投资控股集团有限公司召开的会议决议，同意</w:t>
      </w:r>
      <w:r>
        <w:rPr>
          <w:rFonts w:hint="eastAsia" w:asciiTheme="minorEastAsia" w:hAnsiTheme="minorEastAsia" w:cstheme="minorEastAsia"/>
          <w:color w:val="auto"/>
          <w:sz w:val="32"/>
          <w:szCs w:val="32"/>
          <w:u w:val="single"/>
          <w:lang w:eastAsia="zh-CN"/>
        </w:rPr>
        <w:t>海南省农垦投资控股集团有限公司共4辆公务车转让处置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F23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drawing>
          <wp:anchor distT="0" distB="0" distL="114300" distR="114300" simplePos="0" relativeHeight="251663360" behindDoc="0" locked="0" layoutInCell="1" allowOverlap="1">
            <wp:simplePos x="0" y="0"/>
            <wp:positionH relativeFrom="column">
              <wp:posOffset>76200</wp:posOffset>
            </wp:positionH>
            <wp:positionV relativeFrom="paragraph">
              <wp:posOffset>149860</wp:posOffset>
            </wp:positionV>
            <wp:extent cx="5267960" cy="1210945"/>
            <wp:effectExtent l="0" t="0" r="2540" b="8255"/>
            <wp:wrapNone/>
            <wp:docPr id="1" name="图片 1" descr="afd60238-f142-4298-b0be-e9ac9c8da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d60238-f142-4298-b0be-e9ac9c8da225"/>
                    <pic:cNvPicPr>
                      <a:picLocks noChangeAspect="1"/>
                    </pic:cNvPicPr>
                  </pic:nvPicPr>
                  <pic:blipFill>
                    <a:blip r:embed="rId5"/>
                    <a:stretch>
                      <a:fillRect/>
                    </a:stretch>
                  </pic:blipFill>
                  <pic:spPr>
                    <a:xfrm>
                      <a:off x="0" y="0"/>
                      <a:ext cx="5267960" cy="1210945"/>
                    </a:xfrm>
                    <a:prstGeom prst="rect">
                      <a:avLst/>
                    </a:prstGeom>
                  </pic:spPr>
                </pic:pic>
              </a:graphicData>
            </a:graphic>
          </wp:anchor>
        </w:drawing>
      </w:r>
    </w:p>
    <w:p w14:paraId="38D9D9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eastAsia="zh-CN"/>
        </w:rPr>
      </w:pPr>
    </w:p>
    <w:p w14:paraId="747754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p>
    <w:p w14:paraId="3A0D3A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p>
    <w:p w14:paraId="258A67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p>
    <w:p w14:paraId="422EFF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付款方式：价款全额一次性支付</w:t>
      </w:r>
    </w:p>
    <w:p w14:paraId="173F96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13307515929</w:t>
      </w:r>
    </w:p>
    <w:p w14:paraId="54F7E6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二、流转交易渠道</w:t>
      </w:r>
    </w:p>
    <w:p w14:paraId="01E07D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14:paraId="1C36EA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65928DE"/>
    <w:rsid w:val="18E10F33"/>
    <w:rsid w:val="192561AE"/>
    <w:rsid w:val="1A0C35CC"/>
    <w:rsid w:val="1ED65573"/>
    <w:rsid w:val="20B15CAD"/>
    <w:rsid w:val="2163678E"/>
    <w:rsid w:val="23C4301C"/>
    <w:rsid w:val="24475A26"/>
    <w:rsid w:val="264204D7"/>
    <w:rsid w:val="2741574C"/>
    <w:rsid w:val="27C07F54"/>
    <w:rsid w:val="29B13146"/>
    <w:rsid w:val="2BE42973"/>
    <w:rsid w:val="2C765212"/>
    <w:rsid w:val="2D457FB3"/>
    <w:rsid w:val="2F2607C3"/>
    <w:rsid w:val="30B56AE1"/>
    <w:rsid w:val="327E6635"/>
    <w:rsid w:val="3516702D"/>
    <w:rsid w:val="356B5D48"/>
    <w:rsid w:val="37E601A9"/>
    <w:rsid w:val="38B26A69"/>
    <w:rsid w:val="39204F82"/>
    <w:rsid w:val="3A7A2C02"/>
    <w:rsid w:val="3B7B056A"/>
    <w:rsid w:val="3EE84C2D"/>
    <w:rsid w:val="3F595A04"/>
    <w:rsid w:val="406075A0"/>
    <w:rsid w:val="43315BEC"/>
    <w:rsid w:val="43AD1C7C"/>
    <w:rsid w:val="44912C24"/>
    <w:rsid w:val="47C03328"/>
    <w:rsid w:val="48601C27"/>
    <w:rsid w:val="48CA6CEC"/>
    <w:rsid w:val="49426E38"/>
    <w:rsid w:val="4B053260"/>
    <w:rsid w:val="4C122427"/>
    <w:rsid w:val="4C754C45"/>
    <w:rsid w:val="4D3E199D"/>
    <w:rsid w:val="4D440E1C"/>
    <w:rsid w:val="4DC33073"/>
    <w:rsid w:val="4DC65B6F"/>
    <w:rsid w:val="4DE00E42"/>
    <w:rsid w:val="4E3F7559"/>
    <w:rsid w:val="4ECE0172"/>
    <w:rsid w:val="4FCE0FA4"/>
    <w:rsid w:val="509636D0"/>
    <w:rsid w:val="51516E47"/>
    <w:rsid w:val="51A46EB2"/>
    <w:rsid w:val="53D074D3"/>
    <w:rsid w:val="56073B1A"/>
    <w:rsid w:val="59D52237"/>
    <w:rsid w:val="5AE2521C"/>
    <w:rsid w:val="5CF93C67"/>
    <w:rsid w:val="5D366FAD"/>
    <w:rsid w:val="5E084751"/>
    <w:rsid w:val="5F4A1B47"/>
    <w:rsid w:val="64515E2E"/>
    <w:rsid w:val="64D61FAB"/>
    <w:rsid w:val="66C801A8"/>
    <w:rsid w:val="6BD51FC2"/>
    <w:rsid w:val="6C0E3CC0"/>
    <w:rsid w:val="6F71073E"/>
    <w:rsid w:val="74A84F30"/>
    <w:rsid w:val="74C650A4"/>
    <w:rsid w:val="772B3B26"/>
    <w:rsid w:val="786A7F85"/>
    <w:rsid w:val="78FE3194"/>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6645</Words>
  <Characters>6978</Characters>
  <Lines>59</Lines>
  <Paragraphs>16</Paragraphs>
  <TotalTime>1</TotalTime>
  <ScaleCrop>false</ScaleCrop>
  <LinksUpToDate>false</LinksUpToDate>
  <CharactersWithSpaces>7466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2026-05-25T08:08:59Z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