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32320"/>
      <w:bookmarkStart w:id="2" w:name="_Toc11918"/>
      <w:bookmarkStart w:id="3" w:name="_Toc24454"/>
      <w:bookmarkStart w:id="4" w:name="_Toc21422"/>
      <w:bookmarkStart w:id="5" w:name="_Toc15737"/>
      <w:bookmarkStart w:id="6" w:name="_Toc20910"/>
      <w:bookmarkStart w:id="7" w:name="_Toc21762"/>
      <w:bookmarkStart w:id="8" w:name="_Toc24727"/>
      <w:bookmarkStart w:id="9" w:name="_Toc12789"/>
      <w:bookmarkStart w:id="10" w:name="_Toc24068"/>
      <w:bookmarkStart w:id="11" w:name="_Toc29002"/>
      <w:bookmarkStart w:id="12" w:name="_Toc8396"/>
      <w:bookmarkStart w:id="13" w:name="_Toc13462"/>
      <w:bookmarkStart w:id="14" w:name="_Toc7615"/>
      <w:bookmarkStart w:id="15" w:name="_Toc2571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儋州市那大镇侨南村委会大坡3.034亩集体土地出租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2D0424D2">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5000 </w:t>
      </w:r>
      <w:r>
        <w:rPr>
          <w:rFonts w:hint="eastAsia" w:ascii="新宋体" w:hAnsi="新宋体" w:eastAsia="新宋体" w:cs="Times New Roman"/>
          <w:b/>
          <w:bCs/>
          <w:sz w:val="28"/>
          <w:szCs w:val="28"/>
          <w:lang w:val="en-US" w:eastAsia="zh-CN"/>
        </w:rPr>
        <w:t>元/年。</w:t>
      </w:r>
    </w:p>
    <w:p w14:paraId="52EB9258">
      <w:pPr>
        <w:spacing w:line="520" w:lineRule="exact"/>
        <w:ind w:firstLine="562" w:firstLineChars="200"/>
        <w:jc w:val="left"/>
        <w:rPr>
          <w:rFonts w:hint="eastAsia" w:ascii="新宋体" w:hAnsi="新宋体" w:eastAsia="新宋体" w:cs="Times New Roman"/>
          <w:b/>
          <w:bCs/>
          <w:sz w:val="28"/>
          <w:szCs w:val="28"/>
        </w:rPr>
      </w:pPr>
      <w:r>
        <w:rPr>
          <w:rFonts w:ascii="新宋体" w:hAnsi="新宋体" w:eastAsia="新宋体" w:cs="Times New Roman"/>
          <w:b/>
          <w:bCs/>
          <w:kern w:val="2"/>
          <w:sz w:val="28"/>
          <w:szCs w:val="28"/>
          <w:lang w:val="en-US" w:eastAsia="zh-CN" w:bidi="ar-SA"/>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671405A5">
      <w:pPr>
        <w:spacing w:line="520" w:lineRule="exact"/>
        <w:ind w:firstLine="562" w:firstLineChars="200"/>
        <w:jc w:val="left"/>
        <w:rPr>
          <w:rFonts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06-05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val="0"/>
          <w:bCs w:val="0"/>
          <w:sz w:val="28"/>
          <w:szCs w:val="28"/>
        </w:rPr>
      </w:pPr>
      <w:r>
        <w:rPr>
          <w:rFonts w:hint="eastAsia" w:ascii="新宋体" w:hAnsi="新宋体" w:eastAsia="新宋体" w:cs="Times New Roman"/>
          <w:b/>
          <w:bCs/>
          <w:sz w:val="28"/>
          <w:szCs w:val="28"/>
        </w:rPr>
        <w:t>12、竞</w:t>
      </w:r>
      <w:r>
        <w:rPr>
          <w:rFonts w:hint="eastAsia" w:ascii="新宋体" w:hAnsi="新宋体" w:eastAsia="新宋体" w:cs="Times New Roman"/>
          <w:b w:val="0"/>
          <w:bCs w:val="0"/>
          <w:sz w:val="28"/>
          <w:szCs w:val="28"/>
        </w:rPr>
        <w:t>拍最高（低）报价的结果以系统记录数据为准。</w:t>
      </w:r>
    </w:p>
    <w:p w14:paraId="7014A8CA">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w:t>
      </w:r>
      <w:r>
        <w:rPr>
          <w:rFonts w:hint="eastAsia" w:ascii="新宋体" w:hAnsi="新宋体" w:eastAsia="新宋体" w:cs="Times New Roman"/>
          <w:b w:val="0"/>
          <w:bCs w:val="0"/>
          <w:sz w:val="28"/>
          <w:szCs w:val="28"/>
          <w:lang w:val="en-US" w:eastAsia="zh-CN"/>
        </w:rPr>
        <w:t>农交中心</w:t>
      </w:r>
      <w:r>
        <w:rPr>
          <w:rFonts w:hint="eastAsia" w:ascii="新宋体" w:hAnsi="新宋体" w:eastAsia="新宋体" w:cs="Times New Roman"/>
          <w:b w:val="0"/>
          <w:bCs w:val="0"/>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儋州市那大镇侨南村委会大坡3.034亩集体土地出租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儋州市那大镇侨南村委会大坡3.034亩集体土地出租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儋州市那大镇侨南村委会大坡3.034亩集体土地出租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儋州市那大镇侨南村委会大坡3.034亩集体土地出租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32101"/>
      <w:bookmarkStart w:id="29" w:name="_Toc14469"/>
      <w:bookmarkStart w:id="30" w:name="_Toc12264"/>
      <w:bookmarkStart w:id="31" w:name="_Toc29841"/>
      <w:bookmarkStart w:id="32" w:name="_Toc13094"/>
      <w:bookmarkStart w:id="33" w:name="_Toc4580"/>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361B5DD7">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海南省儋州市那大</w:t>
      </w:r>
      <w:r>
        <w:rPr>
          <w:rFonts w:hint="eastAsia" w:ascii="方正小标宋_GBK" w:hAnsi="方正小标宋_GBK" w:eastAsia="方正小标宋_GBK" w:cs="方正小标宋_GBK"/>
          <w:b/>
          <w:bCs/>
          <w:color w:val="C00000"/>
          <w:sz w:val="36"/>
          <w:szCs w:val="36"/>
          <w:lang w:val="en-US" w:eastAsia="zh-CN"/>
        </w:rPr>
        <w:t>镇侨南村委会大坡3.034亩集体</w:t>
      </w: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儋州那大镇侨南村股份经济合作联合社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color w:val="C00000"/>
          <w:sz w:val="32"/>
          <w:szCs w:val="32"/>
          <w:u w:val="single"/>
          <w:shd w:val="clear" w:color="auto" w:fill="auto"/>
        </w:rPr>
        <w:t>儋州市那大镇侨南村委会大坡3.034亩集体土地出租</w:t>
      </w:r>
      <w:r>
        <w:rPr>
          <w:rFonts w:hint="eastAsia" w:asciiTheme="minorEastAsia" w:hAnsiTheme="minorEastAsia" w:cstheme="minorEastAsia"/>
          <w:color w:val="C00000"/>
          <w:sz w:val="32"/>
          <w:szCs w:val="32"/>
          <w:u w:val="single"/>
          <w:shd w:val="clear" w:color="auto" w:fill="auto"/>
          <w:lang w:val="en-US" w:eastAsia="zh-CN"/>
        </w:rPr>
        <w:t xml:space="preserve">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标的名称：那大镇侨南村委会大坡3.034亩集体土地出租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儋州市那大镇侨南村股份经济合作联合社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3.034亩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5000元/年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三年一付，每5年递增10%</w:t>
      </w:r>
      <w:bookmarkStart w:id="36" w:name="_GoBack"/>
      <w:bookmarkEnd w:id="36"/>
      <w:r>
        <w:rPr>
          <w:rFonts w:hint="eastAsia" w:asciiTheme="minorEastAsia" w:hAnsiTheme="minorEastAsia" w:cstheme="minorEastAsia"/>
          <w:sz w:val="28"/>
          <w:szCs w:val="28"/>
          <w:lang w:val="en-US" w:eastAsia="zh-CN"/>
        </w:rPr>
        <w:t>。</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叶阳18889836805</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B2F4EF-E689-44F8-B8D4-47A3D4FFC3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87EF461F-8DB6-4E2A-96D7-EBF2A7102292}"/>
  </w:font>
  <w:font w:name="仿宋">
    <w:panose1 w:val="02010609060101010101"/>
    <w:charset w:val="86"/>
    <w:family w:val="auto"/>
    <w:pitch w:val="default"/>
    <w:sig w:usb0="800002BF" w:usb1="38CF7CFA" w:usb2="00000016" w:usb3="00000000" w:csb0="00040001" w:csb1="00000000"/>
    <w:embedRegular r:id="rId3" w:fontKey="{B12133A6-4A4A-4638-BC48-85A64A715736}"/>
  </w:font>
  <w:font w:name="新宋体">
    <w:panose1 w:val="02010609030101010101"/>
    <w:charset w:val="86"/>
    <w:family w:val="modern"/>
    <w:pitch w:val="default"/>
    <w:sig w:usb0="00000203" w:usb1="288F0000" w:usb2="00000006" w:usb3="00000000" w:csb0="00040001" w:csb1="00000000"/>
    <w:embedRegular r:id="rId4" w:fontKey="{8A289454-41F3-473F-8116-DD514F410834}"/>
  </w:font>
  <w:font w:name="微软雅黑">
    <w:panose1 w:val="020B0503020204020204"/>
    <w:charset w:val="86"/>
    <w:family w:val="swiss"/>
    <w:pitch w:val="default"/>
    <w:sig w:usb0="80000287" w:usb1="2ACF3C50" w:usb2="00000016" w:usb3="00000000" w:csb0="0004001F" w:csb1="00000000"/>
    <w:embedRegular r:id="rId5" w:fontKey="{8A31B1BA-CFA9-48DF-BDAB-A6E24A44D3B2}"/>
  </w:font>
  <w:font w:name="方正小标宋简体">
    <w:panose1 w:val="02000000000000000000"/>
    <w:charset w:val="86"/>
    <w:family w:val="auto"/>
    <w:pitch w:val="default"/>
    <w:sig w:usb0="00000001" w:usb1="08000000" w:usb2="00000000" w:usb3="00000000" w:csb0="00040000" w:csb1="00000000"/>
    <w:embedRegular r:id="rId6" w:fontKey="{E9229464-6E23-4595-B028-E491C54510C2}"/>
  </w:font>
  <w:font w:name="方正小标宋_GBK">
    <w:panose1 w:val="02000000000000000000"/>
    <w:charset w:val="86"/>
    <w:family w:val="auto"/>
    <w:pitch w:val="default"/>
    <w:sig w:usb0="A00002BF" w:usb1="38CF7CFA" w:usb2="00082016" w:usb3="00000000" w:csb0="00040001" w:csb1="00000000"/>
    <w:embedRegular r:id="rId7" w:fontKey="{97D8C439-AE1E-41D4-A63D-70B60B703B43}"/>
  </w:font>
  <w:font w:name="WPSEMBED4">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64E5119"/>
    <w:rsid w:val="073B3A2D"/>
    <w:rsid w:val="09CC699C"/>
    <w:rsid w:val="0A084CD9"/>
    <w:rsid w:val="0A8721A0"/>
    <w:rsid w:val="0B424F1A"/>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665528"/>
    <w:rsid w:val="227445BF"/>
    <w:rsid w:val="227E3482"/>
    <w:rsid w:val="23A44173"/>
    <w:rsid w:val="23C4301C"/>
    <w:rsid w:val="24552655"/>
    <w:rsid w:val="26E50D2A"/>
    <w:rsid w:val="2741574C"/>
    <w:rsid w:val="28A06C52"/>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D501CB"/>
    <w:rsid w:val="3BA355E6"/>
    <w:rsid w:val="3C8E5846"/>
    <w:rsid w:val="3D0B2EA4"/>
    <w:rsid w:val="3E9004F3"/>
    <w:rsid w:val="3EE84C2D"/>
    <w:rsid w:val="41CD3817"/>
    <w:rsid w:val="42220C2D"/>
    <w:rsid w:val="43315BEC"/>
    <w:rsid w:val="43AD1C7C"/>
    <w:rsid w:val="44912C24"/>
    <w:rsid w:val="457E45CB"/>
    <w:rsid w:val="46190056"/>
    <w:rsid w:val="47C03328"/>
    <w:rsid w:val="497231C3"/>
    <w:rsid w:val="4BB538AD"/>
    <w:rsid w:val="4C122427"/>
    <w:rsid w:val="4C126CDE"/>
    <w:rsid w:val="4C5B7269"/>
    <w:rsid w:val="4C71420D"/>
    <w:rsid w:val="4D440E1C"/>
    <w:rsid w:val="4DC33073"/>
    <w:rsid w:val="4E3F7559"/>
    <w:rsid w:val="4ECE0172"/>
    <w:rsid w:val="51516E47"/>
    <w:rsid w:val="53BF2F3D"/>
    <w:rsid w:val="53C02053"/>
    <w:rsid w:val="54C139F0"/>
    <w:rsid w:val="553904D7"/>
    <w:rsid w:val="567315FF"/>
    <w:rsid w:val="5A0C5FF2"/>
    <w:rsid w:val="5B4A4B48"/>
    <w:rsid w:val="5C5D5C4B"/>
    <w:rsid w:val="5CF93C67"/>
    <w:rsid w:val="5E362377"/>
    <w:rsid w:val="5E764C6D"/>
    <w:rsid w:val="5EC4476B"/>
    <w:rsid w:val="5F001631"/>
    <w:rsid w:val="5F363EFD"/>
    <w:rsid w:val="603B318E"/>
    <w:rsid w:val="614B7D95"/>
    <w:rsid w:val="64515E2E"/>
    <w:rsid w:val="64D61FAB"/>
    <w:rsid w:val="672F0B7D"/>
    <w:rsid w:val="6C5F1BE1"/>
    <w:rsid w:val="6E790060"/>
    <w:rsid w:val="6FFD6B20"/>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5847</Words>
  <Characters>6141</Characters>
  <Lines>59</Lines>
  <Paragraphs>16</Paragraphs>
  <TotalTime>12</TotalTime>
  <ScaleCrop>false</ScaleCrop>
  <LinksUpToDate>false</LinksUpToDate>
  <CharactersWithSpaces>6491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liguan</cp:lastModifiedBy>
  <dcterms:modified xsi:type="dcterms:W3CDTF">2026-05-27T07:59:02Z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5FDCC0D879044331B4F7C2F2744198A8_13</vt:lpwstr>
  </property>
  <property fmtid="{D5CDD505-2E9C-101B-9397-08002B2CF9AE}" pid="4" name="KSOTemplateDocerSaveRecord">
    <vt:lpwstr>eyJoZGlkIjoiYzJhNzY0NmM1NWQwNGNiMzY4MzEyNzljMTc5Y2M5OWQiLCJ1c2VySWQiOiI5MDEzMDExMDYifQ==</vt:lpwstr>
  </property>
</Properties>
</file>