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9584">
      <w:pPr>
        <w:spacing w:line="276" w:lineRule="auto"/>
        <w:ind w:firstLine="0" w:firstLineChars="0"/>
        <w:jc w:val="center"/>
        <w:rPr>
          <w:rFonts w:hint="eastAsia" w:ascii="宋体" w:hAnsi="宋体" w:eastAsia="宋体"/>
          <w:b/>
          <w:bCs/>
          <w:sz w:val="44"/>
          <w:szCs w:val="44"/>
          <w:highlight w:val="none"/>
        </w:rPr>
      </w:pPr>
      <w:r>
        <w:rPr>
          <w:rFonts w:hint="eastAsia" w:ascii="宋体" w:hAnsi="宋体" w:eastAsia="宋体"/>
          <w:b/>
          <w:bCs/>
          <w:sz w:val="44"/>
          <w:szCs w:val="44"/>
          <w:highlight w:val="none"/>
          <w:lang w:val="en-US" w:eastAsia="zh-CN"/>
        </w:rPr>
        <w:t>毛石</w:t>
      </w:r>
      <w:r>
        <w:rPr>
          <w:rFonts w:hint="eastAsia" w:ascii="宋体" w:hAnsi="宋体" w:eastAsia="宋体"/>
          <w:b/>
          <w:bCs/>
          <w:sz w:val="44"/>
          <w:szCs w:val="44"/>
          <w:highlight w:val="none"/>
        </w:rPr>
        <w:t>购销合同</w:t>
      </w:r>
    </w:p>
    <w:p w14:paraId="3184A275">
      <w:pPr>
        <w:spacing w:line="276" w:lineRule="auto"/>
        <w:ind w:firstLine="0" w:firstLineChars="0"/>
        <w:rPr>
          <w:rFonts w:hint="eastAsia" w:ascii="宋体" w:hAnsi="宋体" w:eastAsia="宋体"/>
          <w:sz w:val="21"/>
          <w:szCs w:val="21"/>
          <w:highlight w:val="none"/>
        </w:rPr>
      </w:pPr>
    </w:p>
    <w:p w14:paraId="473E6378">
      <w:pPr>
        <w:spacing w:line="276" w:lineRule="auto"/>
        <w:ind w:firstLine="4830" w:firstLineChars="2300"/>
        <w:rPr>
          <w:rFonts w:hint="eastAsia" w:ascii="宋体" w:hAnsi="宋体" w:eastAsia="宋体"/>
          <w:sz w:val="21"/>
          <w:szCs w:val="21"/>
          <w:highlight w:val="none"/>
        </w:rPr>
      </w:pPr>
      <w:r>
        <w:rPr>
          <w:rFonts w:hint="eastAsia" w:ascii="宋体" w:hAnsi="宋体" w:eastAsia="宋体"/>
          <w:sz w:val="21"/>
          <w:szCs w:val="21"/>
          <w:highlight w:val="none"/>
        </w:rPr>
        <w:t xml:space="preserve">             合同编号： </w:t>
      </w:r>
    </w:p>
    <w:p w14:paraId="58CB24A5">
      <w:pPr>
        <w:spacing w:line="276" w:lineRule="auto"/>
        <w:ind w:firstLine="6195" w:firstLineChars="2950"/>
        <w:rPr>
          <w:rFonts w:hint="eastAsia" w:ascii="宋体" w:hAnsi="宋体" w:eastAsia="宋体"/>
          <w:sz w:val="21"/>
          <w:szCs w:val="21"/>
          <w:highlight w:val="none"/>
        </w:rPr>
      </w:pPr>
      <w:r>
        <w:rPr>
          <w:rFonts w:hint="eastAsia" w:ascii="宋体" w:hAnsi="宋体" w:eastAsia="宋体"/>
          <w:sz w:val="21"/>
          <w:szCs w:val="21"/>
          <w:highlight w:val="none"/>
        </w:rPr>
        <w:t>签订地点：</w:t>
      </w:r>
    </w:p>
    <w:p w14:paraId="5895A363">
      <w:pPr>
        <w:adjustRightInd w:val="0"/>
        <w:snapToGrid w:val="0"/>
        <w:spacing w:line="276" w:lineRule="auto"/>
        <w:ind w:firstLine="0" w:firstLineChars="0"/>
        <w:rPr>
          <w:rFonts w:hint="eastAsia" w:ascii="宋体" w:hAnsi="宋体" w:eastAsia="宋体"/>
          <w:sz w:val="21"/>
          <w:szCs w:val="21"/>
          <w:highlight w:val="none"/>
        </w:rPr>
      </w:pPr>
    </w:p>
    <w:p w14:paraId="09A0079A">
      <w:pPr>
        <w:adjustRightInd w:val="0"/>
        <w:snapToGrid w:val="0"/>
        <w:spacing w:line="276" w:lineRule="auto"/>
        <w:ind w:firstLine="0" w:firstLineChars="0"/>
        <w:rPr>
          <w:rFonts w:hint="eastAsia" w:ascii="宋体" w:hAnsi="宋体" w:eastAsia="宋体"/>
          <w:sz w:val="21"/>
          <w:szCs w:val="21"/>
          <w:highlight w:val="none"/>
          <w:u w:val="single"/>
        </w:rPr>
      </w:pPr>
    </w:p>
    <w:p w14:paraId="1F91B8E3">
      <w:pPr>
        <w:adjustRightInd w:val="0"/>
        <w:snapToGrid w:val="0"/>
        <w:spacing w:line="276" w:lineRule="auto"/>
        <w:ind w:firstLine="0" w:firstLineChars="0"/>
        <w:rPr>
          <w:rFonts w:hint="default" w:ascii="宋体" w:hAnsi="宋体" w:eastAsia="宋体"/>
          <w:sz w:val="21"/>
          <w:szCs w:val="21"/>
          <w:highlight w:val="none"/>
          <w:u w:val="single"/>
          <w:lang w:val="en-US" w:eastAsia="zh-CN"/>
        </w:rPr>
      </w:pPr>
      <w:r>
        <w:rPr>
          <w:rFonts w:hint="eastAsia" w:ascii="宋体" w:hAnsi="宋体" w:eastAsia="宋体"/>
          <w:sz w:val="21"/>
          <w:szCs w:val="21"/>
          <w:highlight w:val="none"/>
        </w:rPr>
        <w:t>卖  方：</w:t>
      </w:r>
      <w:r>
        <w:rPr>
          <w:rFonts w:hint="eastAsia" w:ascii="宋体" w:hAnsi="宋体" w:eastAsia="宋体"/>
          <w:sz w:val="21"/>
          <w:szCs w:val="21"/>
          <w:highlight w:val="none"/>
          <w:u w:val="single"/>
        </w:rPr>
        <w:t xml:space="preserve"> 海垦润丰（屯昌）新型环保建材有限公司</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（以下简称</w:t>
      </w:r>
      <w:r>
        <w:rPr>
          <w:rFonts w:ascii="宋体" w:hAnsi="宋体" w:eastAsia="宋体"/>
          <w:sz w:val="21"/>
          <w:szCs w:val="21"/>
          <w:highlight w:val="none"/>
        </w:rPr>
        <w:t>“</w:t>
      </w:r>
      <w:r>
        <w:rPr>
          <w:rFonts w:hint="eastAsia" w:ascii="宋体" w:hAnsi="宋体" w:eastAsia="宋体"/>
          <w:sz w:val="21"/>
          <w:szCs w:val="21"/>
          <w:highlight w:val="none"/>
          <w:lang w:val="en-US" w:eastAsia="zh-CN"/>
        </w:rPr>
        <w:t>甲</w:t>
      </w:r>
      <w:r>
        <w:rPr>
          <w:rFonts w:hint="eastAsia" w:ascii="宋体" w:hAnsi="宋体" w:eastAsia="宋体"/>
          <w:sz w:val="21"/>
          <w:szCs w:val="21"/>
          <w:highlight w:val="none"/>
        </w:rPr>
        <w:t>方</w:t>
      </w:r>
      <w:r>
        <w:rPr>
          <w:rFonts w:ascii="宋体" w:hAnsi="宋体" w:eastAsia="宋体"/>
          <w:sz w:val="21"/>
          <w:szCs w:val="21"/>
          <w:highlight w:val="none"/>
        </w:rPr>
        <w:t>”</w:t>
      </w:r>
      <w:r>
        <w:rPr>
          <w:rFonts w:hint="eastAsia" w:ascii="宋体" w:hAnsi="宋体" w:eastAsia="宋体"/>
          <w:sz w:val="21"/>
          <w:szCs w:val="21"/>
          <w:highlight w:val="none"/>
        </w:rPr>
        <w:t>）</w:t>
      </w:r>
    </w:p>
    <w:p w14:paraId="4741AECA">
      <w:pPr>
        <w:adjustRightInd w:val="0"/>
        <w:snapToGrid w:val="0"/>
        <w:spacing w:line="276" w:lineRule="auto"/>
        <w:ind w:firstLine="0" w:firstLineChars="0"/>
        <w:rPr>
          <w:rFonts w:hint="eastAsia" w:ascii="宋体" w:hAnsi="宋体" w:eastAsia="宋体"/>
          <w:sz w:val="21"/>
          <w:szCs w:val="21"/>
          <w:highlight w:val="none"/>
          <w:u w:val="single"/>
        </w:rPr>
      </w:pPr>
      <w:r>
        <w:rPr>
          <w:rFonts w:hint="eastAsia" w:ascii="宋体" w:hAnsi="宋体" w:eastAsia="宋体"/>
          <w:sz w:val="21"/>
          <w:szCs w:val="21"/>
          <w:highlight w:val="none"/>
        </w:rPr>
        <w:t>地  址：</w:t>
      </w:r>
      <w:r>
        <w:rPr>
          <w:rFonts w:hint="eastAsia" w:ascii="宋体" w:hAnsi="宋体" w:eastAsia="宋体"/>
          <w:sz w:val="21"/>
          <w:szCs w:val="21"/>
          <w:highlight w:val="none"/>
          <w:u w:val="single"/>
        </w:rPr>
        <w:t xml:space="preserve"> 海南省屯昌县屯城镇环东一路26号 </w:t>
      </w:r>
    </w:p>
    <w:p w14:paraId="002E699B">
      <w:pPr>
        <w:adjustRightInd w:val="0"/>
        <w:snapToGrid w:val="0"/>
        <w:spacing w:line="276" w:lineRule="auto"/>
        <w:ind w:firstLine="0" w:firstLineChars="0"/>
        <w:rPr>
          <w:rFonts w:hint="eastAsia" w:ascii="宋体" w:hAnsi="宋体" w:eastAsia="宋体"/>
          <w:sz w:val="21"/>
          <w:szCs w:val="21"/>
          <w:highlight w:val="none"/>
          <w:u w:val="single"/>
        </w:rPr>
      </w:pPr>
      <w:r>
        <w:rPr>
          <w:rFonts w:hint="eastAsia" w:ascii="宋体" w:hAnsi="宋体" w:eastAsia="宋体"/>
          <w:sz w:val="21"/>
          <w:szCs w:val="21"/>
          <w:highlight w:val="none"/>
        </w:rPr>
        <w:t>电  话：</w:t>
      </w:r>
      <w:r>
        <w:rPr>
          <w:rFonts w:hint="eastAsia" w:ascii="宋体" w:hAnsi="宋体" w:eastAsia="宋体"/>
          <w:sz w:val="21"/>
          <w:szCs w:val="21"/>
          <w:highlight w:val="none"/>
          <w:u w:val="single"/>
          <w:lang w:val="en-US" w:eastAsia="zh-CN"/>
        </w:rPr>
        <w:t xml:space="preserve"> 0898-36811008</w:t>
      </w:r>
      <w:r>
        <w:rPr>
          <w:rFonts w:hint="eastAsia" w:ascii="宋体" w:hAnsi="宋体" w:eastAsia="宋体"/>
          <w:sz w:val="21"/>
          <w:szCs w:val="21"/>
          <w:highlight w:val="none"/>
          <w:u w:val="single"/>
        </w:rPr>
        <w:t> </w:t>
      </w:r>
    </w:p>
    <w:p w14:paraId="2A2FEEC8">
      <w:pPr>
        <w:widowControl/>
        <w:ind w:firstLine="0" w:firstLineChars="0"/>
        <w:jc w:val="left"/>
        <w:rPr>
          <w:rFonts w:hint="eastAsia" w:ascii="宋体" w:hAnsi="宋体" w:eastAsia="宋体" w:cs="宋体"/>
          <w:kern w:val="0"/>
          <w:sz w:val="24"/>
          <w:highlight w:val="none"/>
        </w:rPr>
      </w:pPr>
    </w:p>
    <w:p w14:paraId="4597FA45">
      <w:pPr>
        <w:adjustRightInd w:val="0"/>
        <w:snapToGrid w:val="0"/>
        <w:spacing w:line="276" w:lineRule="auto"/>
        <w:ind w:firstLine="0" w:firstLineChars="0"/>
        <w:rPr>
          <w:rFonts w:hint="eastAsia" w:ascii="宋体" w:hAnsi="宋体" w:eastAsia="宋体"/>
          <w:sz w:val="21"/>
          <w:szCs w:val="21"/>
          <w:highlight w:val="none"/>
          <w:u w:val="single"/>
        </w:rPr>
      </w:pPr>
    </w:p>
    <w:p w14:paraId="79A7DE19">
      <w:pPr>
        <w:adjustRightInd w:val="0"/>
        <w:snapToGrid w:val="0"/>
        <w:spacing w:line="276" w:lineRule="auto"/>
        <w:ind w:firstLine="0" w:firstLineChars="0"/>
        <w:rPr>
          <w:rFonts w:hint="eastAsia" w:ascii="宋体" w:hAnsi="宋体" w:eastAsia="宋体"/>
          <w:sz w:val="21"/>
          <w:szCs w:val="21"/>
          <w:highlight w:val="none"/>
          <w:u w:val="single"/>
        </w:rPr>
      </w:pPr>
      <w:r>
        <w:rPr>
          <w:rFonts w:hint="eastAsia" w:ascii="宋体" w:hAnsi="宋体" w:eastAsia="宋体"/>
          <w:sz w:val="21"/>
          <w:szCs w:val="21"/>
          <w:highlight w:val="none"/>
        </w:rPr>
        <w:t>买  方：</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（以下简称</w:t>
      </w:r>
      <w:r>
        <w:rPr>
          <w:rFonts w:ascii="宋体" w:hAnsi="宋体" w:eastAsia="宋体"/>
          <w:sz w:val="21"/>
          <w:szCs w:val="21"/>
          <w:highlight w:val="none"/>
        </w:rPr>
        <w:t>“</w:t>
      </w:r>
      <w:r>
        <w:rPr>
          <w:rFonts w:hint="eastAsia" w:ascii="宋体" w:hAnsi="宋体" w:eastAsia="宋体"/>
          <w:sz w:val="21"/>
          <w:szCs w:val="21"/>
          <w:highlight w:val="none"/>
        </w:rPr>
        <w:t>乙方</w:t>
      </w:r>
      <w:r>
        <w:rPr>
          <w:rFonts w:ascii="宋体" w:hAnsi="宋体" w:eastAsia="宋体"/>
          <w:sz w:val="21"/>
          <w:szCs w:val="21"/>
          <w:highlight w:val="none"/>
        </w:rPr>
        <w:t>”</w:t>
      </w:r>
      <w:r>
        <w:rPr>
          <w:rFonts w:hint="eastAsia" w:ascii="宋体" w:hAnsi="宋体" w:eastAsia="宋体"/>
          <w:sz w:val="21"/>
          <w:szCs w:val="21"/>
          <w:highlight w:val="none"/>
        </w:rPr>
        <w:t>）</w:t>
      </w:r>
    </w:p>
    <w:p w14:paraId="4841F7D0">
      <w:pPr>
        <w:adjustRightInd w:val="0"/>
        <w:snapToGrid w:val="0"/>
        <w:spacing w:line="276" w:lineRule="auto"/>
        <w:ind w:firstLine="0" w:firstLineChars="0"/>
        <w:rPr>
          <w:rFonts w:hint="default" w:ascii="宋体" w:hAnsi="宋体" w:eastAsia="宋体"/>
          <w:sz w:val="21"/>
          <w:szCs w:val="21"/>
          <w:highlight w:val="none"/>
          <w:u w:val="single"/>
          <w:lang w:val="en-US" w:eastAsia="zh-CN"/>
        </w:rPr>
      </w:pPr>
      <w:r>
        <w:rPr>
          <w:rFonts w:hint="eastAsia" w:ascii="宋体" w:hAnsi="宋体" w:eastAsia="宋体"/>
          <w:sz w:val="21"/>
          <w:szCs w:val="21"/>
          <w:highlight w:val="none"/>
        </w:rPr>
        <w:t>地  址：</w:t>
      </w:r>
      <w:r>
        <w:rPr>
          <w:rFonts w:hint="eastAsia" w:ascii="宋体" w:hAnsi="宋体" w:eastAsia="宋体"/>
          <w:sz w:val="21"/>
          <w:szCs w:val="21"/>
          <w:highlight w:val="none"/>
          <w:u w:val="single"/>
          <w:lang w:val="en-US" w:eastAsia="zh-CN"/>
        </w:rPr>
        <w:t xml:space="preserve">                   </w:t>
      </w:r>
    </w:p>
    <w:p w14:paraId="00D1EFD2">
      <w:pPr>
        <w:adjustRightInd w:val="0"/>
        <w:snapToGrid w:val="0"/>
        <w:spacing w:line="276" w:lineRule="auto"/>
        <w:ind w:firstLine="0" w:firstLineChars="0"/>
        <w:rPr>
          <w:rFonts w:hint="default" w:ascii="宋体" w:hAnsi="宋体" w:eastAsia="宋体"/>
          <w:sz w:val="21"/>
          <w:szCs w:val="21"/>
          <w:highlight w:val="none"/>
          <w:u w:val="single"/>
          <w:lang w:val="en-US" w:eastAsia="zh-CN"/>
        </w:rPr>
      </w:pPr>
      <w:r>
        <w:rPr>
          <w:rFonts w:hint="eastAsia" w:ascii="宋体" w:hAnsi="宋体" w:eastAsia="宋体"/>
          <w:sz w:val="21"/>
          <w:szCs w:val="21"/>
          <w:highlight w:val="none"/>
        </w:rPr>
        <w:t>电  话：</w:t>
      </w:r>
      <w:r>
        <w:rPr>
          <w:rFonts w:hint="eastAsia" w:ascii="宋体" w:hAnsi="宋体" w:eastAsia="宋体"/>
          <w:sz w:val="21"/>
          <w:szCs w:val="21"/>
          <w:highlight w:val="none"/>
          <w:u w:val="single"/>
          <w:lang w:val="en-US" w:eastAsia="zh-CN"/>
        </w:rPr>
        <w:t xml:space="preserve">                   </w:t>
      </w:r>
    </w:p>
    <w:p w14:paraId="2FE4DE26">
      <w:pPr>
        <w:adjustRightInd w:val="0"/>
        <w:snapToGrid w:val="0"/>
        <w:spacing w:line="276" w:lineRule="auto"/>
        <w:ind w:firstLine="0" w:firstLineChars="0"/>
        <w:rPr>
          <w:rFonts w:hint="eastAsia" w:ascii="宋体" w:hAnsi="宋体" w:eastAsia="宋体"/>
          <w:sz w:val="21"/>
          <w:szCs w:val="21"/>
          <w:highlight w:val="none"/>
          <w:u w:val="single"/>
        </w:rPr>
      </w:pPr>
    </w:p>
    <w:p w14:paraId="54840C76">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甲、乙双方根据</w:t>
      </w:r>
      <w:r>
        <w:rPr>
          <w:rFonts w:hint="eastAsia" w:ascii="宋体" w:hAnsi="宋体" w:eastAsia="宋体" w:cs="宋体"/>
          <w:sz w:val="21"/>
          <w:szCs w:val="21"/>
          <w:highlight w:val="none"/>
        </w:rPr>
        <w:t>《中华人民共和国民法典》</w:t>
      </w:r>
      <w:r>
        <w:rPr>
          <w:rFonts w:hint="eastAsia" w:ascii="宋体" w:hAnsi="宋体" w:eastAsia="宋体"/>
          <w:sz w:val="21"/>
          <w:szCs w:val="21"/>
          <w:highlight w:val="none"/>
        </w:rPr>
        <w:t>及其他有关法律、法规的规定，本着诚实信用、互惠互利的商业合作精神，在平等自愿、协商一致的基础上，就</w:t>
      </w:r>
      <w:r>
        <w:rPr>
          <w:rFonts w:hint="eastAsia" w:ascii="宋体" w:hAnsi="宋体" w:eastAsia="宋体"/>
          <w:sz w:val="21"/>
          <w:szCs w:val="21"/>
          <w:highlight w:val="none"/>
          <w:lang w:val="en-US" w:eastAsia="zh-CN"/>
        </w:rPr>
        <w:t>花岗岩毛石购销</w:t>
      </w:r>
      <w:r>
        <w:rPr>
          <w:rFonts w:hint="eastAsia" w:ascii="宋体" w:hAnsi="宋体" w:eastAsia="宋体"/>
          <w:sz w:val="21"/>
          <w:szCs w:val="21"/>
          <w:highlight w:val="none"/>
        </w:rPr>
        <w:t>事宜签订本合同，以资信守。</w:t>
      </w:r>
    </w:p>
    <w:p w14:paraId="1BC939A7">
      <w:pPr>
        <w:adjustRightInd w:val="0"/>
        <w:snapToGrid w:val="0"/>
        <w:spacing w:line="276" w:lineRule="auto"/>
        <w:ind w:firstLine="422"/>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第一条  产品名称、品种规格、价格、数量</w:t>
      </w:r>
    </w:p>
    <w:p w14:paraId="2683B76E">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甲方自合同约定时间起，按下表所列产品、规格及价格向乙方供应</w:t>
      </w:r>
      <w:r>
        <w:rPr>
          <w:rFonts w:hint="eastAsia" w:ascii="宋体" w:hAnsi="宋体" w:eastAsia="宋体"/>
          <w:sz w:val="21"/>
          <w:szCs w:val="21"/>
          <w:highlight w:val="none"/>
          <w:lang w:val="en-US" w:eastAsia="zh-CN"/>
        </w:rPr>
        <w:t>花岗岩毛石</w:t>
      </w:r>
      <w:r>
        <w:rPr>
          <w:rFonts w:hint="eastAsia" w:ascii="宋体" w:hAnsi="宋体" w:eastAsia="宋体"/>
          <w:sz w:val="21"/>
          <w:szCs w:val="21"/>
          <w:highlight w:val="none"/>
        </w:rPr>
        <w:t>：</w:t>
      </w:r>
    </w:p>
    <w:tbl>
      <w:tblPr>
        <w:tblStyle w:val="7"/>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856"/>
        <w:gridCol w:w="1455"/>
        <w:gridCol w:w="1474"/>
        <w:gridCol w:w="1283"/>
        <w:gridCol w:w="1283"/>
      </w:tblGrid>
      <w:tr w14:paraId="12EB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56" w:type="dxa"/>
            <w:vAlign w:val="center"/>
          </w:tcPr>
          <w:p w14:paraId="7C5DAE2D">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产品名称</w:t>
            </w:r>
          </w:p>
        </w:tc>
        <w:tc>
          <w:tcPr>
            <w:tcW w:w="856" w:type="dxa"/>
            <w:vAlign w:val="center"/>
          </w:tcPr>
          <w:p w14:paraId="297E597F">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税率</w:t>
            </w:r>
          </w:p>
        </w:tc>
        <w:tc>
          <w:tcPr>
            <w:tcW w:w="1455" w:type="dxa"/>
            <w:vAlign w:val="center"/>
          </w:tcPr>
          <w:p w14:paraId="6FD6EED6">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含税结算价（元/吨）</w:t>
            </w:r>
          </w:p>
        </w:tc>
        <w:tc>
          <w:tcPr>
            <w:tcW w:w="1474" w:type="dxa"/>
            <w:vAlign w:val="center"/>
          </w:tcPr>
          <w:p w14:paraId="0AC7ED8E">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规格</w:t>
            </w:r>
          </w:p>
        </w:tc>
        <w:tc>
          <w:tcPr>
            <w:tcW w:w="1283" w:type="dxa"/>
            <w:vAlign w:val="center"/>
          </w:tcPr>
          <w:p w14:paraId="363455A2">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交货方式</w:t>
            </w:r>
          </w:p>
        </w:tc>
        <w:tc>
          <w:tcPr>
            <w:tcW w:w="1283" w:type="dxa"/>
            <w:vAlign w:val="center"/>
          </w:tcPr>
          <w:p w14:paraId="30935FED">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计划提货数量（吨）</w:t>
            </w:r>
          </w:p>
        </w:tc>
      </w:tr>
      <w:tr w14:paraId="1B69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56" w:type="dxa"/>
            <w:vAlign w:val="center"/>
          </w:tcPr>
          <w:p w14:paraId="77EEC99A">
            <w:pPr>
              <w:adjustRightInd w:val="0"/>
              <w:snapToGrid w:val="0"/>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花岗岩毛石</w:t>
            </w:r>
          </w:p>
        </w:tc>
        <w:tc>
          <w:tcPr>
            <w:tcW w:w="856" w:type="dxa"/>
          </w:tcPr>
          <w:p w14:paraId="45FEEDB1">
            <w:pPr>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3%</w:t>
            </w:r>
          </w:p>
        </w:tc>
        <w:tc>
          <w:tcPr>
            <w:tcW w:w="1455" w:type="dxa"/>
          </w:tcPr>
          <w:p w14:paraId="08471939">
            <w:pPr>
              <w:ind w:firstLine="0" w:firstLineChars="0"/>
              <w:jc w:val="center"/>
              <w:rPr>
                <w:rFonts w:hint="default" w:ascii="宋体" w:hAnsi="宋体" w:eastAsia="宋体"/>
                <w:sz w:val="21"/>
                <w:szCs w:val="21"/>
                <w:highlight w:val="none"/>
                <w:lang w:val="en-US" w:eastAsia="zh-CN"/>
              </w:rPr>
            </w:pPr>
          </w:p>
        </w:tc>
        <w:tc>
          <w:tcPr>
            <w:tcW w:w="1474" w:type="dxa"/>
            <w:vAlign w:val="center"/>
          </w:tcPr>
          <w:p w14:paraId="5044F38E">
            <w:pPr>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≤800mm</w:t>
            </w:r>
          </w:p>
        </w:tc>
        <w:tc>
          <w:tcPr>
            <w:tcW w:w="1283" w:type="dxa"/>
            <w:vAlign w:val="center"/>
          </w:tcPr>
          <w:p w14:paraId="33085B07">
            <w:pPr>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汽运自提</w:t>
            </w:r>
          </w:p>
        </w:tc>
        <w:tc>
          <w:tcPr>
            <w:tcW w:w="1283" w:type="dxa"/>
            <w:vAlign w:val="center"/>
          </w:tcPr>
          <w:p w14:paraId="6B60FF66">
            <w:pPr>
              <w:adjustRightInd w:val="0"/>
              <w:snapToGrid w:val="0"/>
              <w:ind w:firstLine="0" w:firstLineChars="0"/>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15</w:t>
            </w:r>
            <w:r>
              <w:rPr>
                <w:rFonts w:hint="eastAsia" w:ascii="宋体" w:hAnsi="宋体" w:eastAsia="宋体"/>
                <w:sz w:val="21"/>
                <w:szCs w:val="21"/>
                <w:highlight w:val="none"/>
              </w:rPr>
              <w:t>万</w:t>
            </w:r>
          </w:p>
        </w:tc>
      </w:tr>
    </w:tbl>
    <w:p w14:paraId="0A3D9899">
      <w:pPr>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说明：</w:t>
      </w:r>
    </w:p>
    <w:p w14:paraId="42D78027">
      <w:pPr>
        <w:numPr>
          <w:ilvl w:val="0"/>
          <w:numId w:val="0"/>
        </w:num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eastAsia="宋体"/>
          <w:bCs w:val="0"/>
          <w:sz w:val="21"/>
          <w:szCs w:val="21"/>
          <w:highlight w:val="none"/>
        </w:rPr>
        <w:t>含税结算价</w:t>
      </w:r>
      <w:r>
        <w:rPr>
          <w:rFonts w:hint="eastAsia" w:ascii="宋体" w:hAnsi="宋体" w:eastAsia="宋体"/>
          <w:sz w:val="21"/>
          <w:szCs w:val="21"/>
          <w:highlight w:val="none"/>
        </w:rPr>
        <w:t>为产品在甲方</w:t>
      </w:r>
      <w:r>
        <w:rPr>
          <w:rFonts w:hint="eastAsia" w:ascii="宋体" w:hAnsi="宋体" w:eastAsia="宋体"/>
          <w:sz w:val="21"/>
          <w:szCs w:val="21"/>
          <w:highlight w:val="none"/>
          <w:u w:val="none"/>
        </w:rPr>
        <w:t>生产厂自提</w:t>
      </w:r>
      <w:r>
        <w:rPr>
          <w:rFonts w:hint="eastAsia" w:ascii="宋体" w:hAnsi="宋体" w:eastAsia="宋体"/>
          <w:sz w:val="21"/>
          <w:szCs w:val="21"/>
          <w:highlight w:val="none"/>
        </w:rPr>
        <w:t>的现金交货价格。</w:t>
      </w:r>
    </w:p>
    <w:p w14:paraId="77912BEE">
      <w:pPr>
        <w:numPr>
          <w:ilvl w:val="0"/>
          <w:numId w:val="0"/>
        </w:numPr>
        <w:adjustRightInd w:val="0"/>
        <w:snapToGrid w:val="0"/>
        <w:spacing w:line="276" w:lineRule="auto"/>
        <w:ind w:firstLine="420" w:firstLineChars="200"/>
        <w:rPr>
          <w:highlight w:val="none"/>
        </w:rPr>
      </w:pPr>
      <w:r>
        <w:rPr>
          <w:rFonts w:hint="eastAsia" w:ascii="宋体" w:hAnsi="宋体" w:eastAsia="宋体"/>
          <w:sz w:val="21"/>
          <w:szCs w:val="21"/>
          <w:highlight w:val="none"/>
          <w:lang w:val="en-US" w:eastAsia="zh-CN"/>
        </w:rPr>
        <w:t>2、乙方应根据本合同第十条第2点第（2）项之约定安排提货事宜</w:t>
      </w:r>
      <w:r>
        <w:rPr>
          <w:rFonts w:hint="eastAsia" w:ascii="宋体" w:hAnsi="宋体" w:eastAsia="宋体"/>
          <w:sz w:val="21"/>
          <w:szCs w:val="21"/>
          <w:highlight w:val="none"/>
        </w:rPr>
        <w:t>。如</w:t>
      </w:r>
      <w:r>
        <w:rPr>
          <w:rFonts w:ascii="宋体" w:hAnsi="宋体" w:eastAsia="宋体"/>
          <w:sz w:val="21"/>
          <w:szCs w:val="21"/>
          <w:highlight w:val="none"/>
        </w:rPr>
        <w:t>遇</w:t>
      </w:r>
      <w:r>
        <w:rPr>
          <w:rFonts w:hint="eastAsia" w:ascii="宋体" w:hAnsi="宋体" w:eastAsia="宋体"/>
          <w:sz w:val="21"/>
          <w:szCs w:val="21"/>
          <w:highlight w:val="none"/>
        </w:rPr>
        <w:t>不可抗力因素（指诸如战争、严重的火灾、台风、地震、洪水、停限电、政府原因以及任何其他不能预见、不能避免且不能克服的事件）或甲方工厂设备检修、故障等</w:t>
      </w:r>
      <w:r>
        <w:rPr>
          <w:rFonts w:ascii="宋体" w:hAnsi="宋体" w:eastAsia="宋体"/>
          <w:sz w:val="21"/>
          <w:szCs w:val="21"/>
          <w:highlight w:val="none"/>
        </w:rPr>
        <w:t>情形</w:t>
      </w:r>
      <w:r>
        <w:rPr>
          <w:rFonts w:hint="eastAsia" w:ascii="宋体" w:hAnsi="宋体" w:eastAsia="宋体"/>
          <w:sz w:val="21"/>
          <w:szCs w:val="21"/>
          <w:highlight w:val="none"/>
        </w:rPr>
        <w:t>，甲方应提前正式书面通知乙方，避免因此产生损失。</w:t>
      </w:r>
    </w:p>
    <w:p w14:paraId="36471F7E">
      <w:pPr>
        <w:adjustRightInd w:val="0"/>
        <w:snapToGrid w:val="0"/>
        <w:spacing w:line="276" w:lineRule="auto"/>
        <w:ind w:firstLine="420" w:firstLineChars="0"/>
        <w:rPr>
          <w:rFonts w:hint="eastAsia" w:ascii="宋体" w:hAnsi="宋体" w:eastAsia="宋体"/>
          <w:b/>
          <w:bCs/>
          <w:sz w:val="21"/>
          <w:szCs w:val="21"/>
          <w:highlight w:val="none"/>
        </w:rPr>
      </w:pPr>
      <w:r>
        <w:rPr>
          <w:rFonts w:hint="eastAsia" w:ascii="宋体" w:hAnsi="宋体" w:eastAsia="宋体"/>
          <w:b/>
          <w:bCs/>
          <w:sz w:val="21"/>
          <w:szCs w:val="21"/>
          <w:highlight w:val="none"/>
        </w:rPr>
        <w:t>第二条  质量要求</w:t>
      </w:r>
    </w:p>
    <w:p w14:paraId="0936158D">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US" w:eastAsia="zh-CN"/>
        </w:rPr>
        <w:t>甲方供应的产品质量需参照GB/T 14685-2022、GB/T 14684-2022等国家标准执行，合同履行过程中如有最新标准，则按最新标准执行。</w:t>
      </w:r>
    </w:p>
    <w:p w14:paraId="23F06E2E">
      <w:pPr>
        <w:adjustRightInd w:val="0"/>
        <w:snapToGrid w:val="0"/>
        <w:spacing w:line="276" w:lineRule="auto"/>
        <w:ind w:firstLine="422"/>
        <w:rPr>
          <w:rFonts w:hint="eastAsia" w:ascii="宋体" w:hAnsi="宋体" w:eastAsia="宋体"/>
          <w:sz w:val="21"/>
          <w:szCs w:val="21"/>
          <w:highlight w:val="none"/>
        </w:rPr>
      </w:pPr>
      <w:r>
        <w:rPr>
          <w:rFonts w:hint="eastAsia" w:ascii="宋体" w:hAnsi="宋体" w:eastAsia="宋体"/>
          <w:b/>
          <w:bCs/>
          <w:sz w:val="21"/>
          <w:szCs w:val="21"/>
          <w:highlight w:val="none"/>
        </w:rPr>
        <w:t>第三条  交货时间、交货地点、交货方式、货物签收及运杂费结算</w:t>
      </w:r>
    </w:p>
    <w:p w14:paraId="501DEC47">
      <w:pPr>
        <w:adjustRightInd w:val="0"/>
        <w:snapToGrid w:val="0"/>
        <w:spacing w:line="276" w:lineRule="auto"/>
        <w:ind w:firstLine="420"/>
        <w:rPr>
          <w:rFonts w:hint="eastAsia" w:ascii="宋体" w:hAnsi="宋体" w:eastAsia="宋体"/>
          <w:sz w:val="21"/>
          <w:szCs w:val="21"/>
          <w:highlight w:val="none"/>
          <w:u w:val="single"/>
        </w:rPr>
      </w:pPr>
      <w:r>
        <w:rPr>
          <w:rFonts w:hint="eastAsia" w:ascii="宋体" w:hAnsi="宋体" w:eastAsia="宋体"/>
          <w:sz w:val="21"/>
          <w:szCs w:val="21"/>
          <w:highlight w:val="none"/>
        </w:rPr>
        <w:t>1、交货时间：甲方</w:t>
      </w:r>
      <w:r>
        <w:rPr>
          <w:rFonts w:hint="eastAsia" w:ascii="宋体" w:hAnsi="宋体" w:eastAsia="宋体"/>
          <w:sz w:val="21"/>
          <w:szCs w:val="21"/>
          <w:highlight w:val="none"/>
          <w:lang w:val="en-US" w:eastAsia="zh-CN"/>
        </w:rPr>
        <w:t>最迟</w:t>
      </w:r>
      <w:r>
        <w:rPr>
          <w:rFonts w:hint="eastAsia" w:ascii="宋体" w:hAnsi="宋体" w:eastAsia="宋体"/>
          <w:sz w:val="21"/>
          <w:szCs w:val="21"/>
          <w:highlight w:val="none"/>
        </w:rPr>
        <w:t>于202</w:t>
      </w: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月</w:t>
      </w:r>
      <w:r>
        <w:rPr>
          <w:rFonts w:hint="eastAsia" w:ascii="宋体" w:hAnsi="宋体" w:eastAsia="宋体"/>
          <w:sz w:val="21"/>
          <w:szCs w:val="21"/>
          <w:highlight w:val="none"/>
        </w:rPr>
        <w:t>起开始首次交货。</w:t>
      </w:r>
    </w:p>
    <w:p w14:paraId="03CFAE07">
      <w:pPr>
        <w:adjustRightInd w:val="0"/>
        <w:snapToGrid w:val="0"/>
        <w:spacing w:line="276" w:lineRule="auto"/>
        <w:ind w:firstLine="420"/>
        <w:outlineLvl w:val="0"/>
        <w:rPr>
          <w:rFonts w:hint="eastAsia" w:ascii="宋体" w:hAnsi="宋体" w:eastAsia="宋体"/>
          <w:sz w:val="21"/>
          <w:szCs w:val="21"/>
          <w:highlight w:val="none"/>
        </w:rPr>
      </w:pPr>
      <w:r>
        <w:rPr>
          <w:rFonts w:hint="eastAsia" w:ascii="宋体" w:hAnsi="宋体" w:eastAsia="宋体"/>
          <w:sz w:val="21"/>
          <w:szCs w:val="21"/>
          <w:highlight w:val="none"/>
        </w:rPr>
        <w:t>2、交货方式及地点</w:t>
      </w:r>
    </w:p>
    <w:p w14:paraId="7298DF7C">
      <w:pPr>
        <w:adjustRightInd w:val="0"/>
        <w:snapToGrid w:val="0"/>
        <w:spacing w:line="276" w:lineRule="auto"/>
        <w:ind w:firstLine="420"/>
        <w:outlineLvl w:val="0"/>
        <w:rPr>
          <w:rFonts w:hint="eastAsia" w:ascii="宋体" w:hAnsi="宋体" w:eastAsia="宋体"/>
          <w:sz w:val="21"/>
          <w:szCs w:val="21"/>
          <w:highlight w:val="none"/>
          <w:u w:val="single"/>
        </w:rPr>
      </w:pPr>
      <w:r>
        <w:rPr>
          <w:rFonts w:hint="eastAsia" w:ascii="宋体" w:hAnsi="宋体" w:eastAsia="宋体"/>
          <w:sz w:val="21"/>
          <w:szCs w:val="21"/>
          <w:highlight w:val="none"/>
        </w:rPr>
        <w:t>乙方自提：乙方自行安排运输工具提货，运杂费由乙方承担，交货地点为</w:t>
      </w:r>
      <w:r>
        <w:rPr>
          <w:rFonts w:hint="eastAsia" w:ascii="宋体" w:hAnsi="宋体" w:eastAsia="宋体"/>
          <w:sz w:val="21"/>
          <w:szCs w:val="21"/>
          <w:highlight w:val="none"/>
          <w:u w:val="single"/>
        </w:rPr>
        <w:t xml:space="preserve"> 屯昌县大月岭花岗岩项目加工区（X381县道北侧）  </w:t>
      </w:r>
      <w:r>
        <w:rPr>
          <w:rFonts w:hint="eastAsia" w:ascii="宋体" w:hAnsi="宋体" w:eastAsia="宋体"/>
          <w:sz w:val="21"/>
          <w:szCs w:val="21"/>
          <w:highlight w:val="none"/>
        </w:rPr>
        <w:t>。</w:t>
      </w:r>
    </w:p>
    <w:p w14:paraId="703A7E87">
      <w:pPr>
        <w:adjustRightInd w:val="0"/>
        <w:snapToGrid w:val="0"/>
        <w:spacing w:line="276" w:lineRule="auto"/>
        <w:ind w:firstLine="420"/>
        <w:outlineLvl w:val="0"/>
        <w:rPr>
          <w:rFonts w:hint="eastAsia" w:ascii="宋体" w:hAnsi="宋体" w:eastAsia="宋体"/>
          <w:sz w:val="21"/>
          <w:szCs w:val="21"/>
          <w:highlight w:val="none"/>
        </w:rPr>
      </w:pPr>
      <w:r>
        <w:rPr>
          <w:rFonts w:ascii="宋体" w:hAnsi="宋体" w:eastAsia="宋体"/>
          <w:sz w:val="21"/>
          <w:szCs w:val="21"/>
          <w:highlight w:val="none"/>
        </w:rPr>
        <w:t>3</w:t>
      </w:r>
      <w:r>
        <w:rPr>
          <w:rFonts w:hint="eastAsia" w:ascii="宋体" w:hAnsi="宋体" w:eastAsia="宋体"/>
          <w:sz w:val="21"/>
          <w:szCs w:val="21"/>
          <w:highlight w:val="none"/>
        </w:rPr>
        <w:t>、货物签收：本合同签订后首次交货前，乙方应向甲方提供代表乙方签收货物的人员的书面授权书（加盖乙方公章），内容包括签收人员的姓名、身份证复印件、联系电话及签名样本等。交货时由乙方授权的签收人员代表乙方履行产品签收手续。合同期间，乙方签收人员若发生变更，乙方应提前3日书面通知甲方并经甲方书面确认，否则，由此引起的一切损失及责任，由乙方自行承担。</w:t>
      </w:r>
    </w:p>
    <w:p w14:paraId="1CC9C840">
      <w:pPr>
        <w:adjustRightInd w:val="0"/>
        <w:snapToGrid w:val="0"/>
        <w:spacing w:line="276" w:lineRule="auto"/>
        <w:ind w:firstLine="413" w:firstLineChars="196"/>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第四条  计量标准</w:t>
      </w:r>
    </w:p>
    <w:p w14:paraId="1EC499AA">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以甲方过磅数量为准（地磅须经法定计量检测机构认可），合理损耗按</w:t>
      </w:r>
      <w:r>
        <w:rPr>
          <w:rFonts w:hint="eastAsia" w:ascii="宋体" w:hAnsi="宋体" w:eastAsia="宋体" w:cs="宋体"/>
          <w:sz w:val="21"/>
          <w:szCs w:val="21"/>
          <w:highlight w:val="none"/>
          <w:u w:val="single"/>
        </w:rPr>
        <w:t>±3‰</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的标准执行。乙方可抽检复磅（地磅须经法定计量检测机构认可），若乙方抽检结果与甲方提供的过磅数量磅差值在</w:t>
      </w:r>
      <w:r>
        <w:rPr>
          <w:rFonts w:hint="eastAsia" w:ascii="宋体" w:hAnsi="宋体" w:eastAsia="宋体" w:cs="宋体"/>
          <w:sz w:val="21"/>
          <w:szCs w:val="21"/>
          <w:highlight w:val="none"/>
          <w:u w:val="single"/>
        </w:rPr>
        <w:t>±3‰</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以内，甲、乙双方同意属于正常，该批货物结算数量以甲方过磅单数量为准，复磅费用由乙方承担；若甲、乙双方磅负差超过</w:t>
      </w:r>
      <w:r>
        <w:rPr>
          <w:rFonts w:hint="eastAsia" w:ascii="宋体" w:hAnsi="宋体" w:eastAsia="宋体" w:cs="宋体"/>
          <w:sz w:val="21"/>
          <w:szCs w:val="21"/>
          <w:highlight w:val="none"/>
          <w:u w:val="single"/>
        </w:rPr>
        <w:t>3‰</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，则可经双方认可的第三方地磅进行复核（第三方地磅须经法定计量检测机构认可），该批货物结算数量以与</w:t>
      </w:r>
      <w:r>
        <w:rPr>
          <w:rFonts w:ascii="宋体" w:hAnsi="宋体" w:eastAsia="宋体"/>
          <w:sz w:val="21"/>
          <w:szCs w:val="21"/>
          <w:highlight w:val="none"/>
        </w:rPr>
        <w:t>第三方复磅</w:t>
      </w:r>
      <w:r>
        <w:rPr>
          <w:rFonts w:hint="eastAsia" w:ascii="宋体" w:hAnsi="宋体" w:eastAsia="宋体"/>
          <w:sz w:val="21"/>
          <w:szCs w:val="21"/>
          <w:highlight w:val="none"/>
        </w:rPr>
        <w:t>误差量小的</w:t>
      </w:r>
      <w:r>
        <w:rPr>
          <w:rFonts w:ascii="宋体" w:hAnsi="宋体" w:eastAsia="宋体"/>
          <w:sz w:val="21"/>
          <w:szCs w:val="21"/>
          <w:highlight w:val="none"/>
        </w:rPr>
        <w:t>一方</w:t>
      </w:r>
      <w:r>
        <w:rPr>
          <w:rFonts w:hint="eastAsia" w:ascii="宋体" w:hAnsi="宋体" w:eastAsia="宋体"/>
          <w:sz w:val="21"/>
          <w:szCs w:val="21"/>
          <w:highlight w:val="none"/>
        </w:rPr>
        <w:t>过磅数量为准，复磅费用由误差量大的一方承担。乙方抽检复磅须在签收产品时书面提出并当场检验。</w:t>
      </w:r>
    </w:p>
    <w:p w14:paraId="012BAAB4">
      <w:pPr>
        <w:adjustRightInd w:val="0"/>
        <w:snapToGrid w:val="0"/>
        <w:spacing w:line="276" w:lineRule="auto"/>
        <w:ind w:firstLine="422"/>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第五条  付款及结算方式</w:t>
      </w:r>
    </w:p>
    <w:p w14:paraId="34872177">
      <w:pPr>
        <w:adjustRightInd w:val="0"/>
        <w:snapToGrid w:val="0"/>
        <w:spacing w:line="276"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1、本合同甲方</w:t>
      </w:r>
      <w:r>
        <w:rPr>
          <w:rFonts w:hint="eastAsia" w:ascii="宋体" w:hAnsi="宋体" w:eastAsia="宋体"/>
          <w:sz w:val="21"/>
          <w:szCs w:val="21"/>
          <w:highlight w:val="none"/>
          <w:lang w:val="en-US" w:eastAsia="zh-CN"/>
        </w:rPr>
        <w:t>暂定</w:t>
      </w:r>
      <w:r>
        <w:rPr>
          <w:rFonts w:hint="eastAsia" w:ascii="宋体" w:hAnsi="宋体" w:eastAsia="宋体"/>
          <w:sz w:val="21"/>
          <w:szCs w:val="21"/>
          <w:highlight w:val="none"/>
        </w:rPr>
        <w:t>向乙方出售</w:t>
      </w:r>
      <w:r>
        <w:rPr>
          <w:rFonts w:hint="eastAsia" w:ascii="宋体" w:hAnsi="宋体" w:eastAsia="宋体"/>
          <w:sz w:val="21"/>
          <w:szCs w:val="21"/>
          <w:highlight w:val="none"/>
          <w:lang w:val="en-US" w:eastAsia="zh-CN"/>
        </w:rPr>
        <w:t>花岗岩毛石</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15</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万吨，每吨</w:t>
      </w:r>
      <w:r>
        <w:rPr>
          <w:rFonts w:hint="eastAsia" w:ascii="宋体" w:hAnsi="宋体" w:eastAsia="宋体"/>
          <w:sz w:val="21"/>
          <w:szCs w:val="21"/>
          <w:highlight w:val="none"/>
          <w:lang w:val="en-US" w:eastAsia="zh-CN"/>
        </w:rPr>
        <w:t>含税</w:t>
      </w:r>
      <w:r>
        <w:rPr>
          <w:rFonts w:hint="eastAsia" w:ascii="宋体" w:hAnsi="宋体" w:eastAsia="宋体"/>
          <w:sz w:val="21"/>
          <w:szCs w:val="21"/>
          <w:highlight w:val="none"/>
        </w:rPr>
        <w:t>单价为￥</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元，共计￥</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元（大写：</w:t>
      </w:r>
      <w:r>
        <w:rPr>
          <w:rFonts w:hint="eastAsia" w:ascii="宋体" w:hAnsi="宋体" w:eastAsia="宋体"/>
          <w:sz w:val="21"/>
          <w:szCs w:val="21"/>
          <w:highlight w:val="none"/>
          <w:u w:val="single"/>
        </w:rPr>
        <w:t>人民币</w:t>
      </w:r>
      <w:r>
        <w:rPr>
          <w:rFonts w:hint="eastAsia" w:ascii="宋体" w:hAnsi="宋体" w:eastAsia="宋体"/>
          <w:sz w:val="21"/>
          <w:szCs w:val="21"/>
          <w:highlight w:val="none"/>
          <w:u w:val="single"/>
          <w:lang w:val="en-US" w:eastAsia="zh-CN"/>
        </w:rPr>
        <w:t xml:space="preserve">     万元整</w:t>
      </w:r>
      <w:r>
        <w:rPr>
          <w:rFonts w:hint="eastAsia" w:ascii="宋体" w:hAnsi="宋体" w:eastAsia="宋体"/>
          <w:sz w:val="21"/>
          <w:szCs w:val="21"/>
          <w:highlight w:val="none"/>
        </w:rPr>
        <w:t>），不含增值税价款￥</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大写：人民币</w:t>
      </w:r>
      <w:r>
        <w:rPr>
          <w:rFonts w:hint="eastAsia" w:ascii="宋体" w:hAnsi="宋体" w:eastAsia="宋体"/>
          <w:sz w:val="21"/>
          <w:szCs w:val="21"/>
          <w:highlight w:val="none"/>
          <w:u w:val="single"/>
          <w:lang w:val="en-US" w:eastAsia="zh-CN"/>
        </w:rPr>
        <w:t xml:space="preserve">     万元整</w:t>
      </w:r>
      <w:r>
        <w:rPr>
          <w:rFonts w:hint="eastAsia" w:ascii="宋体" w:hAnsi="宋体" w:eastAsia="宋体"/>
          <w:sz w:val="21"/>
          <w:szCs w:val="21"/>
          <w:highlight w:val="none"/>
          <w:lang w:eastAsia="zh-CN"/>
        </w:rPr>
        <w:t>）</w:t>
      </w:r>
      <w:r>
        <w:rPr>
          <w:rFonts w:hint="eastAsia" w:ascii="宋体" w:hAnsi="宋体" w:eastAsia="宋体"/>
          <w:sz w:val="21"/>
          <w:szCs w:val="21"/>
          <w:highlight w:val="none"/>
        </w:rPr>
        <w:t>，增值税税额￥</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大写：人民币</w:t>
      </w:r>
      <w:r>
        <w:rPr>
          <w:rFonts w:hint="eastAsia" w:ascii="宋体" w:hAnsi="宋体" w:eastAsia="宋体"/>
          <w:sz w:val="21"/>
          <w:szCs w:val="21"/>
          <w:highlight w:val="none"/>
          <w:u w:val="single"/>
          <w:lang w:val="en-US" w:eastAsia="zh-CN"/>
        </w:rPr>
        <w:t xml:space="preserve">     万元整</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lang w:eastAsia="zh-CN"/>
        </w:rPr>
        <w:t>）</w:t>
      </w:r>
      <w:r>
        <w:rPr>
          <w:rFonts w:hint="eastAsia" w:ascii="宋体" w:hAnsi="宋体" w:eastAsia="宋体"/>
          <w:sz w:val="21"/>
          <w:szCs w:val="21"/>
          <w:highlight w:val="none"/>
        </w:rPr>
        <w:t>。</w:t>
      </w:r>
    </w:p>
    <w:p w14:paraId="6FDE2C1A">
      <w:pPr>
        <w:adjustRightInd w:val="0"/>
        <w:snapToGrid w:val="0"/>
        <w:spacing w:line="276" w:lineRule="auto"/>
        <w:ind w:left="0" w:leftChars="0" w:firstLine="420" w:firstLineChars="200"/>
        <w:rPr>
          <w:rFonts w:hint="eastAsia"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乙方向甲方预付货款，甲方在确认</w:t>
      </w:r>
      <w:r>
        <w:rPr>
          <w:rFonts w:hint="eastAsia" w:ascii="宋体" w:hAnsi="宋体" w:eastAsia="宋体"/>
          <w:sz w:val="21"/>
          <w:szCs w:val="21"/>
          <w:highlight w:val="none"/>
          <w:lang w:val="en-US" w:eastAsia="zh-CN"/>
        </w:rPr>
        <w:t>预付款</w:t>
      </w:r>
      <w:r>
        <w:rPr>
          <w:rFonts w:hint="eastAsia" w:ascii="宋体" w:hAnsi="宋体" w:eastAsia="宋体"/>
          <w:sz w:val="21"/>
          <w:szCs w:val="21"/>
          <w:highlight w:val="none"/>
        </w:rPr>
        <w:t>到账后，根据实际情况安排发货，发货价值不超过预付款金额。否则，甲方有权拒绝发货并不承担任何责任。</w:t>
      </w:r>
    </w:p>
    <w:p w14:paraId="13C17275">
      <w:pPr>
        <w:adjustRightInd w:val="0"/>
        <w:snapToGrid w:val="0"/>
        <w:spacing w:line="276" w:lineRule="auto"/>
        <w:ind w:left="0" w:leftChars="0"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3、本合同约定预付货款为</w:t>
      </w:r>
      <w:r>
        <w:rPr>
          <w:rFonts w:hint="eastAsia" w:ascii="宋体" w:hAnsi="宋体" w:eastAsia="宋体"/>
          <w:sz w:val="21"/>
          <w:szCs w:val="21"/>
          <w:highlight w:val="none"/>
          <w:lang w:val="en-US" w:eastAsia="zh-CN"/>
        </w:rPr>
        <w:t>合同总价款，即</w:t>
      </w:r>
      <w:r>
        <w:rPr>
          <w:rFonts w:hint="eastAsia" w:ascii="宋体" w:hAnsi="宋体" w:eastAsia="宋体"/>
          <w:sz w:val="21"/>
          <w:szCs w:val="21"/>
          <w:highlight w:val="none"/>
        </w:rPr>
        <w:t>￥</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.00 </w:t>
      </w:r>
      <w:r>
        <w:rPr>
          <w:rFonts w:hint="eastAsia" w:ascii="宋体" w:hAnsi="宋体" w:eastAsia="宋体"/>
          <w:sz w:val="21"/>
          <w:szCs w:val="21"/>
          <w:highlight w:val="none"/>
        </w:rPr>
        <w:t>元（大写：人民币</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万元整 </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其中</w:t>
      </w:r>
      <w:r>
        <w:rPr>
          <w:rFonts w:hint="eastAsia" w:ascii="宋体" w:hAnsi="宋体" w:eastAsia="宋体"/>
          <w:sz w:val="21"/>
          <w:szCs w:val="21"/>
          <w:highlight w:val="none"/>
        </w:rPr>
        <w:t>￥</w:t>
      </w:r>
      <w:r>
        <w:rPr>
          <w:rFonts w:hint="eastAsia" w:ascii="宋体" w:hAnsi="宋体" w:eastAsia="宋体"/>
          <w:sz w:val="21"/>
          <w:szCs w:val="21"/>
          <w:highlight w:val="none"/>
          <w:u w:val="single"/>
          <w:lang w:val="en-US" w:eastAsia="zh-CN"/>
        </w:rPr>
        <w:t>990,000.00</w:t>
      </w:r>
      <w:r>
        <w:rPr>
          <w:rFonts w:hint="eastAsia" w:ascii="宋体" w:hAnsi="宋体" w:eastAsia="宋体"/>
          <w:sz w:val="21"/>
          <w:szCs w:val="21"/>
          <w:highlight w:val="none"/>
          <w:lang w:val="en-US" w:eastAsia="zh-CN"/>
        </w:rPr>
        <w:t>元</w:t>
      </w:r>
      <w:r>
        <w:rPr>
          <w:rFonts w:hint="eastAsia" w:ascii="宋体" w:hAnsi="宋体" w:eastAsia="宋体"/>
          <w:sz w:val="21"/>
          <w:szCs w:val="21"/>
          <w:highlight w:val="none"/>
        </w:rPr>
        <w:t>（大写：人民币</w:t>
      </w:r>
      <w:r>
        <w:rPr>
          <w:rFonts w:hint="eastAsia" w:ascii="宋体" w:hAnsi="宋体" w:eastAsia="宋体"/>
          <w:sz w:val="21"/>
          <w:szCs w:val="21"/>
          <w:highlight w:val="none"/>
          <w:u w:val="single"/>
          <w:lang w:val="en-US" w:eastAsia="zh-CN"/>
        </w:rPr>
        <w:t>玖拾玖</w:t>
      </w:r>
      <w:r>
        <w:rPr>
          <w:rFonts w:hint="eastAsia" w:ascii="宋体" w:hAnsi="宋体" w:eastAsia="宋体"/>
          <w:sz w:val="21"/>
          <w:szCs w:val="21"/>
          <w:highlight w:val="none"/>
          <w:u w:val="single"/>
        </w:rPr>
        <w:t xml:space="preserve">万元整 </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由竞拍保证金转入，剩余预付货</w:t>
      </w:r>
      <w:r>
        <w:rPr>
          <w:rFonts w:hint="eastAsia" w:ascii="宋体" w:hAnsi="宋体" w:eastAsia="宋体"/>
          <w:sz w:val="21"/>
          <w:szCs w:val="21"/>
          <w:highlight w:val="none"/>
        </w:rPr>
        <w:t>￥</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.00 </w:t>
      </w:r>
      <w:r>
        <w:rPr>
          <w:rFonts w:hint="eastAsia" w:ascii="宋体" w:hAnsi="宋体" w:eastAsia="宋体"/>
          <w:sz w:val="21"/>
          <w:szCs w:val="21"/>
          <w:highlight w:val="none"/>
        </w:rPr>
        <w:t>元（大写：人民币</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万元整 </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款需于</w:t>
      </w:r>
      <w:r>
        <w:rPr>
          <w:rFonts w:hint="eastAsia" w:ascii="宋体" w:hAnsi="宋体" w:eastAsia="宋体"/>
          <w:sz w:val="21"/>
          <w:szCs w:val="21"/>
          <w:highlight w:val="none"/>
        </w:rPr>
        <w:t>成交确认后</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个工作日内签订本合同并支付预付款项。</w:t>
      </w:r>
    </w:p>
    <w:p w14:paraId="2E23D96F">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4、合同期间，双方采用以下方式进行结算：</w:t>
      </w:r>
    </w:p>
    <w:p w14:paraId="72308CB3">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每月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20</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日为结算截止日，即</w:t>
      </w:r>
      <w:r>
        <w:rPr>
          <w:rFonts w:hint="eastAsia" w:ascii="宋体" w:hAnsi="宋体" w:eastAsia="宋体"/>
          <w:sz w:val="21"/>
          <w:szCs w:val="21"/>
          <w:highlight w:val="none"/>
          <w:lang w:val="en-US" w:eastAsia="zh-CN"/>
        </w:rPr>
        <w:t>上</w:t>
      </w:r>
      <w:r>
        <w:rPr>
          <w:rFonts w:hint="eastAsia" w:ascii="宋体" w:hAnsi="宋体" w:eastAsia="宋体"/>
          <w:sz w:val="21"/>
          <w:szCs w:val="21"/>
          <w:highlight w:val="none"/>
        </w:rPr>
        <w:t>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w:t>
      </w:r>
      <w:r>
        <w:rPr>
          <w:rFonts w:hint="eastAsia" w:ascii="宋体" w:hAnsi="宋体" w:eastAsia="宋体"/>
          <w:sz w:val="21"/>
          <w:szCs w:val="21"/>
          <w:highlight w:val="none"/>
          <w:u w:val="single"/>
        </w:rPr>
        <w:t xml:space="preserve">1 </w:t>
      </w:r>
      <w:r>
        <w:rPr>
          <w:rFonts w:hint="eastAsia" w:ascii="宋体" w:hAnsi="宋体" w:eastAsia="宋体"/>
          <w:sz w:val="21"/>
          <w:szCs w:val="21"/>
          <w:highlight w:val="none"/>
        </w:rPr>
        <w:t>日至本月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20</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日为一个结算周期，</w:t>
      </w:r>
      <w:r>
        <w:rPr>
          <w:rFonts w:hint="eastAsia" w:ascii="宋体" w:hAnsi="宋体" w:eastAsia="宋体"/>
          <w:sz w:val="21"/>
          <w:szCs w:val="21"/>
          <w:highlight w:val="none"/>
          <w:lang w:val="en-US" w:eastAsia="zh-CN"/>
        </w:rPr>
        <w:t>本</w:t>
      </w:r>
      <w:r>
        <w:rPr>
          <w:rFonts w:hint="eastAsia" w:ascii="宋体" w:hAnsi="宋体" w:eastAsia="宋体"/>
          <w:sz w:val="21"/>
          <w:szCs w:val="21"/>
          <w:highlight w:val="none"/>
        </w:rPr>
        <w:t>月</w:t>
      </w:r>
      <w:r>
        <w:rPr>
          <w:rFonts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25</w:t>
      </w:r>
      <w:r>
        <w:rPr>
          <w:rFonts w:ascii="宋体" w:hAnsi="宋体" w:eastAsia="宋体"/>
          <w:sz w:val="21"/>
          <w:szCs w:val="21"/>
          <w:highlight w:val="none"/>
          <w:u w:val="single"/>
        </w:rPr>
        <w:t xml:space="preserve"> </w:t>
      </w:r>
      <w:r>
        <w:rPr>
          <w:rFonts w:hint="eastAsia" w:ascii="宋体" w:hAnsi="宋体" w:eastAsia="宋体"/>
          <w:sz w:val="21"/>
          <w:szCs w:val="21"/>
          <w:highlight w:val="none"/>
        </w:rPr>
        <w:t>日前双方核对甲方系统出具的对账单</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签字盖章确认</w:t>
      </w:r>
      <w:r>
        <w:rPr>
          <w:rFonts w:hint="eastAsia" w:ascii="宋体" w:hAnsi="宋体" w:eastAsia="宋体"/>
          <w:sz w:val="21"/>
          <w:szCs w:val="21"/>
          <w:highlight w:val="none"/>
        </w:rPr>
        <w:t>实际交易的数量及金额的结算。</w:t>
      </w:r>
    </w:p>
    <w:p w14:paraId="67F240B4">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、乙方使用银行转账方式预付货款：</w:t>
      </w:r>
    </w:p>
    <w:p w14:paraId="09BC0BD7">
      <w:pPr>
        <w:pStyle w:val="2"/>
        <w:rPr>
          <w:rFonts w:hint="eastAsia" w:hAnsi="宋体" w:eastAsia="宋体"/>
          <w:sz w:val="21"/>
          <w:szCs w:val="21"/>
          <w:highlight w:val="none"/>
        </w:rPr>
      </w:pPr>
      <w:r>
        <w:rPr>
          <w:rFonts w:hint="eastAsia" w:hAnsi="宋体" w:eastAsia="宋体"/>
          <w:sz w:val="21"/>
          <w:szCs w:val="21"/>
          <w:highlight w:val="none"/>
        </w:rPr>
        <w:t>甲方指定收款账户：</w:t>
      </w:r>
    </w:p>
    <w:p w14:paraId="63A34CFC">
      <w:pPr>
        <w:pStyle w:val="2"/>
        <w:rPr>
          <w:rFonts w:hint="default" w:hAnsi="宋体" w:eastAsia="宋体"/>
          <w:sz w:val="21"/>
          <w:szCs w:val="21"/>
          <w:highlight w:val="none"/>
          <w:lang w:val="en-US" w:eastAsia="zh-CN"/>
        </w:rPr>
      </w:pPr>
      <w:r>
        <w:rPr>
          <w:rFonts w:hint="eastAsia" w:hAnsi="宋体" w:eastAsia="宋体"/>
          <w:sz w:val="21"/>
          <w:szCs w:val="21"/>
          <w:highlight w:val="none"/>
        </w:rPr>
        <w:t>开户行：</w:t>
      </w:r>
      <w:r>
        <w:rPr>
          <w:rFonts w:hint="eastAsia" w:hAnsi="宋体" w:eastAsia="宋体"/>
          <w:sz w:val="21"/>
          <w:szCs w:val="21"/>
          <w:highlight w:val="none"/>
          <w:lang w:val="en-US" w:eastAsia="zh-CN"/>
        </w:rPr>
        <w:t xml:space="preserve">                    </w:t>
      </w:r>
    </w:p>
    <w:p w14:paraId="086B39B8">
      <w:pPr>
        <w:pStyle w:val="2"/>
        <w:rPr>
          <w:rFonts w:hint="default" w:hAnsi="宋体" w:eastAsia="宋体"/>
          <w:sz w:val="21"/>
          <w:szCs w:val="21"/>
          <w:highlight w:val="none"/>
          <w:lang w:val="en-US" w:eastAsia="zh-CN"/>
        </w:rPr>
      </w:pPr>
      <w:r>
        <w:rPr>
          <w:rFonts w:hint="eastAsia" w:hAnsi="宋体" w:eastAsia="宋体"/>
          <w:sz w:val="21"/>
          <w:szCs w:val="21"/>
          <w:highlight w:val="none"/>
        </w:rPr>
        <w:t>户</w:t>
      </w:r>
      <w:r>
        <w:rPr>
          <w:rFonts w:hint="eastAsia" w:hAnsi="宋体" w:eastAsia="宋体"/>
          <w:sz w:val="21"/>
          <w:szCs w:val="21"/>
          <w:highlight w:val="none"/>
          <w:lang w:val="en-US" w:eastAsia="zh-CN"/>
        </w:rPr>
        <w:t xml:space="preserve">  </w:t>
      </w:r>
      <w:r>
        <w:rPr>
          <w:rFonts w:hint="eastAsia" w:hAnsi="宋体" w:eastAsia="宋体"/>
          <w:sz w:val="21"/>
          <w:szCs w:val="21"/>
          <w:highlight w:val="none"/>
        </w:rPr>
        <w:t>名：海垦润丰（屯昌）新型环保建材有限公司</w:t>
      </w:r>
      <w:r>
        <w:rPr>
          <w:rFonts w:hint="eastAsia" w:hAnsi="宋体" w:eastAsia="宋体"/>
          <w:sz w:val="21"/>
          <w:szCs w:val="21"/>
          <w:highlight w:val="none"/>
          <w:lang w:val="en-US" w:eastAsia="zh-CN"/>
        </w:rPr>
        <w:t xml:space="preserve">                      </w:t>
      </w:r>
    </w:p>
    <w:p w14:paraId="7416D7A6">
      <w:pPr>
        <w:pStyle w:val="2"/>
        <w:rPr>
          <w:rFonts w:hint="default" w:hAnsi="宋体" w:eastAsia="宋体"/>
          <w:sz w:val="21"/>
          <w:szCs w:val="21"/>
          <w:highlight w:val="none"/>
          <w:lang w:val="en-US" w:eastAsia="zh-CN"/>
        </w:rPr>
      </w:pPr>
      <w:r>
        <w:rPr>
          <w:rFonts w:hint="eastAsia" w:hAnsi="宋体" w:eastAsia="宋体"/>
          <w:sz w:val="21"/>
          <w:szCs w:val="21"/>
          <w:highlight w:val="none"/>
        </w:rPr>
        <w:t>账</w:t>
      </w:r>
      <w:r>
        <w:rPr>
          <w:rFonts w:hint="eastAsia" w:hAnsi="宋体" w:eastAsia="宋体"/>
          <w:sz w:val="21"/>
          <w:szCs w:val="21"/>
          <w:highlight w:val="none"/>
          <w:lang w:val="en-US" w:eastAsia="zh-CN"/>
        </w:rPr>
        <w:t xml:space="preserve">  </w:t>
      </w:r>
      <w:r>
        <w:rPr>
          <w:rFonts w:hint="eastAsia" w:hAnsi="宋体" w:eastAsia="宋体"/>
          <w:sz w:val="21"/>
          <w:szCs w:val="21"/>
          <w:highlight w:val="none"/>
        </w:rPr>
        <w:t>号：</w:t>
      </w:r>
      <w:r>
        <w:rPr>
          <w:rFonts w:hint="eastAsia" w:hAnsi="宋体" w:eastAsia="宋体"/>
          <w:sz w:val="21"/>
          <w:szCs w:val="21"/>
          <w:highlight w:val="none"/>
          <w:lang w:val="en-US" w:eastAsia="zh-CN"/>
        </w:rPr>
        <w:t xml:space="preserve">                      </w:t>
      </w:r>
    </w:p>
    <w:p w14:paraId="708D3C4B">
      <w:pPr>
        <w:adjustRightInd w:val="0"/>
        <w:snapToGrid w:val="0"/>
        <w:spacing w:line="276" w:lineRule="auto"/>
        <w:ind w:firstLine="420"/>
        <w:rPr>
          <w:rFonts w:hint="eastAsia" w:ascii="宋体" w:hAnsi="宋体" w:eastAsia="宋体"/>
          <w:color w:val="FF0000"/>
          <w:sz w:val="21"/>
          <w:szCs w:val="21"/>
          <w:highlight w:val="none"/>
        </w:rPr>
      </w:pPr>
      <w:r>
        <w:rPr>
          <w:rFonts w:hint="eastAsia" w:ascii="宋体" w:hAnsi="宋体" w:eastAsia="宋体"/>
          <w:sz w:val="21"/>
          <w:szCs w:val="21"/>
          <w:highlight w:val="none"/>
        </w:rPr>
        <w:t>甲方指定该账户收取货款，若乙方委托第三方付款或接受第三方代其付款，则须向甲方提供由付款委托、受托双方共同签字盖章确认的书面委托证明。</w:t>
      </w:r>
    </w:p>
    <w:p w14:paraId="2ABA41CD">
      <w:pPr>
        <w:adjustRightInd w:val="0"/>
        <w:snapToGrid w:val="0"/>
        <w:spacing w:line="276" w:lineRule="auto"/>
        <w:ind w:firstLine="420"/>
        <w:jc w:val="left"/>
        <w:rPr>
          <w:rFonts w:hint="eastAsia" w:ascii="宋体" w:hAnsi="宋体" w:eastAsia="宋体"/>
          <w:sz w:val="21"/>
          <w:szCs w:val="21"/>
          <w:highlight w:val="none"/>
        </w:rPr>
      </w:pP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、关于发票</w:t>
      </w:r>
    </w:p>
    <w:p w14:paraId="1114381D">
      <w:pPr>
        <w:widowControl/>
        <w:spacing w:line="276" w:lineRule="auto"/>
        <w:ind w:firstLine="420"/>
        <w:jc w:val="left"/>
        <w:rPr>
          <w:rFonts w:hint="eastAsia" w:ascii="宋体" w:hAnsi="宋体" w:eastAsia="宋体" w:cs="宋体"/>
          <w:sz w:val="21"/>
          <w:szCs w:val="21"/>
        </w:rPr>
      </w:pPr>
      <w:r>
        <w:rPr>
          <w:rFonts w:hint="eastAsia" w:ascii="宋体" w:hAnsi="宋体" w:eastAsia="宋体" w:cs="宋体"/>
          <w:sz w:val="21"/>
          <w:szCs w:val="21"/>
        </w:rPr>
        <w:t>甲方按结算价向乙方提供</w:t>
      </w:r>
      <w:r>
        <w:rPr>
          <w:rFonts w:hint="eastAsia" w:ascii="宋体" w:hAnsi="宋体" w:eastAsia="宋体" w:cs="宋体"/>
          <w:sz w:val="21"/>
          <w:szCs w:val="21"/>
          <w:lang w:val="en-US" w:eastAsia="zh-CN"/>
        </w:rPr>
        <w:t>花岗岩毛石</w:t>
      </w:r>
      <w:r>
        <w:rPr>
          <w:rFonts w:hint="eastAsia" w:ascii="宋体" w:hAnsi="宋体" w:eastAsia="宋体" w:cs="宋体"/>
          <w:sz w:val="21"/>
          <w:szCs w:val="21"/>
        </w:rPr>
        <w:t>产品</w:t>
      </w:r>
      <w:r>
        <w:rPr>
          <w:rFonts w:ascii="宋体" w:hAnsi="宋体" w:eastAsia="宋体" w:cs="宋体"/>
          <w:b/>
          <w:bCs/>
          <w:sz w:val="21"/>
          <w:szCs w:val="21"/>
          <w:u w:val="single"/>
        </w:rPr>
        <w:t>3</w:t>
      </w:r>
      <w:r>
        <w:rPr>
          <w:rFonts w:ascii="宋体" w:hAnsi="宋体" w:eastAsia="宋体" w:cs="宋体"/>
          <w:b/>
          <w:bCs/>
          <w:sz w:val="21"/>
          <w:szCs w:val="21"/>
        </w:rPr>
        <w:t>%</w:t>
      </w:r>
      <w:r>
        <w:rPr>
          <w:rFonts w:ascii="宋体" w:hAnsi="宋体" w:eastAsia="宋体" w:cs="宋体"/>
          <w:sz w:val="21"/>
          <w:szCs w:val="21"/>
        </w:rPr>
        <w:t>增值税专用/普通（二选一）</w:t>
      </w:r>
      <w:r>
        <w:rPr>
          <w:rFonts w:hint="eastAsia" w:ascii="宋体" w:hAnsi="宋体" w:eastAsia="宋体" w:cs="宋体"/>
          <w:sz w:val="21"/>
          <w:szCs w:val="21"/>
        </w:rPr>
        <w:t>发票，乙方开具发票的要求应在提货之日起的三个月内提出，避免延迟。</w:t>
      </w:r>
      <w:r>
        <w:rPr>
          <w:rFonts w:ascii="宋体" w:hAnsi="宋体" w:eastAsia="宋体" w:cs="宋体"/>
          <w:sz w:val="21"/>
          <w:szCs w:val="21"/>
        </w:rPr>
        <w:t>在合同履行过程中，如国家增值税税率政策发生变化的，则按照新的政策执行。</w:t>
      </w:r>
    </w:p>
    <w:p w14:paraId="0889EAB8">
      <w:pPr>
        <w:adjustRightInd w:val="0"/>
        <w:snapToGrid w:val="0"/>
        <w:spacing w:line="276" w:lineRule="auto"/>
        <w:ind w:firstLine="420"/>
        <w:rPr>
          <w:rFonts w:hint="eastAsia" w:ascii="宋体" w:hAnsi="宋体" w:eastAsia="宋体"/>
          <w:sz w:val="21"/>
          <w:szCs w:val="21"/>
        </w:rPr>
      </w:pPr>
      <w:r>
        <w:rPr>
          <w:rFonts w:hint="eastAsia" w:ascii="宋体" w:hAnsi="宋体" w:eastAsia="宋体"/>
          <w:sz w:val="21"/>
          <w:szCs w:val="21"/>
        </w:rPr>
        <w:t>若乙方要求开具</w:t>
      </w:r>
      <w:r>
        <w:rPr>
          <w:rFonts w:hint="eastAsia" w:ascii="宋体" w:hAnsi="宋体" w:eastAsia="宋体"/>
          <w:sz w:val="21"/>
          <w:szCs w:val="21"/>
          <w:lang w:val="en-US" w:eastAsia="zh-CN"/>
        </w:rPr>
        <w:t>花岗岩毛石</w:t>
      </w:r>
      <w:r>
        <w:rPr>
          <w:rFonts w:hint="eastAsia" w:ascii="宋体" w:hAnsi="宋体" w:eastAsia="宋体"/>
          <w:sz w:val="21"/>
          <w:szCs w:val="21"/>
        </w:rPr>
        <w:t>产品增值税专用发票，则须向甲方提供加盖单位公章含有以下信息的开票资料：乙方名称、纳税人识别号或统一社会信用代码、地址、电话、开户行及账号信息。</w:t>
      </w:r>
      <w:r>
        <w:rPr>
          <w:rFonts w:hint="eastAsia" w:ascii="宋体" w:hAnsi="宋体" w:eastAsia="宋体"/>
          <w:b/>
          <w:sz w:val="21"/>
          <w:szCs w:val="21"/>
        </w:rPr>
        <w:t>（开具专票</w:t>
      </w:r>
      <w:r>
        <w:rPr>
          <w:rFonts w:hint="eastAsia" w:ascii="宋体" w:hAnsi="宋体" w:eastAsia="宋体"/>
          <w:b/>
          <w:bCs/>
          <w:sz w:val="21"/>
          <w:szCs w:val="21"/>
        </w:rPr>
        <w:t>时</w:t>
      </w:r>
      <w:r>
        <w:rPr>
          <w:rFonts w:hint="eastAsia" w:ascii="宋体" w:hAnsi="宋体" w:eastAsia="宋体"/>
          <w:b/>
          <w:sz w:val="21"/>
          <w:szCs w:val="21"/>
        </w:rPr>
        <w:t>选用）</w:t>
      </w:r>
    </w:p>
    <w:p w14:paraId="5224790A">
      <w:pPr>
        <w:adjustRightInd w:val="0"/>
        <w:snapToGrid w:val="0"/>
        <w:spacing w:line="276" w:lineRule="auto"/>
        <w:ind w:firstLine="420"/>
        <w:rPr>
          <w:rFonts w:hint="eastAsia" w:ascii="宋体" w:hAnsi="宋体" w:eastAsia="宋体"/>
          <w:b/>
          <w:sz w:val="21"/>
          <w:szCs w:val="21"/>
          <w:highlight w:val="none"/>
        </w:rPr>
      </w:pPr>
      <w:r>
        <w:rPr>
          <w:rFonts w:hint="eastAsia" w:ascii="宋体" w:hAnsi="宋体" w:eastAsia="宋体"/>
          <w:sz w:val="21"/>
          <w:szCs w:val="21"/>
        </w:rPr>
        <w:t>若乙方（非企业除外）要求开具骨料产品增值税普通发票的，则须向甲方提供加盖单位公章含有以下信息的开票资料：乙方名称、纳税人识别号或统一社会信用代码。</w:t>
      </w:r>
      <w:r>
        <w:rPr>
          <w:rFonts w:hint="eastAsia" w:ascii="宋体" w:hAnsi="宋体" w:eastAsia="宋体"/>
          <w:b/>
          <w:sz w:val="21"/>
          <w:szCs w:val="21"/>
        </w:rPr>
        <w:t>（开具普票</w:t>
      </w:r>
      <w:r>
        <w:rPr>
          <w:rFonts w:hint="eastAsia" w:ascii="宋体" w:hAnsi="宋体" w:eastAsia="宋体"/>
          <w:b/>
          <w:bCs/>
          <w:sz w:val="21"/>
          <w:szCs w:val="21"/>
        </w:rPr>
        <w:t>时</w:t>
      </w:r>
      <w:r>
        <w:rPr>
          <w:rFonts w:hint="eastAsia" w:ascii="宋体" w:hAnsi="宋体" w:eastAsia="宋体"/>
          <w:b/>
          <w:sz w:val="21"/>
          <w:szCs w:val="21"/>
        </w:rPr>
        <w:t>选用）</w:t>
      </w:r>
    </w:p>
    <w:p w14:paraId="4F194743">
      <w:pPr>
        <w:adjustRightInd w:val="0"/>
        <w:snapToGrid w:val="0"/>
        <w:spacing w:line="276" w:lineRule="auto"/>
        <w:ind w:firstLine="422"/>
        <w:rPr>
          <w:rFonts w:hint="eastAsia" w:ascii="宋体" w:hAnsi="宋体" w:eastAsia="宋体"/>
          <w:b/>
          <w:sz w:val="21"/>
          <w:szCs w:val="21"/>
          <w:highlight w:val="none"/>
        </w:rPr>
      </w:pPr>
      <w:r>
        <w:rPr>
          <w:rFonts w:hint="eastAsia" w:ascii="宋体" w:hAnsi="宋体" w:eastAsia="宋体"/>
          <w:b/>
          <w:sz w:val="21"/>
          <w:szCs w:val="21"/>
          <w:highlight w:val="none"/>
        </w:rPr>
        <w:t>第六条、双方权利义务</w:t>
      </w:r>
    </w:p>
    <w:p w14:paraId="24AE0014">
      <w:pPr>
        <w:pStyle w:val="11"/>
        <w:numPr>
          <w:ilvl w:val="0"/>
          <w:numId w:val="1"/>
        </w:numPr>
        <w:spacing w:line="276" w:lineRule="auto"/>
        <w:ind w:firstLineChars="0"/>
        <w:rPr>
          <w:rFonts w:ascii="宋体" w:hAnsi="宋体" w:eastAsia="宋体"/>
          <w:sz w:val="21"/>
          <w:szCs w:val="21"/>
          <w:highlight w:val="none"/>
        </w:rPr>
      </w:pPr>
      <w:r>
        <w:rPr>
          <w:rFonts w:hint="eastAsia" w:ascii="宋体" w:hAnsi="宋体" w:eastAsia="宋体"/>
          <w:sz w:val="21"/>
          <w:szCs w:val="21"/>
          <w:highlight w:val="none"/>
        </w:rPr>
        <w:t>甲方的权利与义务</w:t>
      </w:r>
    </w:p>
    <w:p w14:paraId="6991F6D9">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（1）甲方有权对乙方运输工作情况进行监督管理，并签收相应的单据；</w:t>
      </w:r>
    </w:p>
    <w:p w14:paraId="102004A5">
      <w:pPr>
        <w:spacing w:line="276" w:lineRule="auto"/>
        <w:ind w:firstLine="420"/>
        <w:rPr>
          <w:rFonts w:hint="eastAsia" w:ascii="宋体" w:hAnsi="宋体" w:eastAsia="宋体"/>
          <w:sz w:val="21"/>
          <w:szCs w:val="21"/>
          <w:highlight w:val="none"/>
          <w:lang w:eastAsia="zh-CN"/>
        </w:rPr>
      </w:pPr>
      <w:r>
        <w:rPr>
          <w:rFonts w:hint="eastAsia" w:ascii="宋体" w:hAnsi="宋体" w:eastAsia="宋体"/>
          <w:sz w:val="21"/>
          <w:szCs w:val="21"/>
          <w:highlight w:val="none"/>
        </w:rPr>
        <w:t>（2）甲方负责</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的钻爆挖装等工作并将货物装载至乙方提货车辆（场内）</w:t>
      </w:r>
      <w:r>
        <w:rPr>
          <w:rFonts w:hint="eastAsia" w:ascii="宋体" w:hAnsi="宋体" w:eastAsia="宋体"/>
          <w:sz w:val="21"/>
          <w:szCs w:val="21"/>
          <w:highlight w:val="none"/>
          <w:lang w:eastAsia="zh-CN"/>
        </w:rPr>
        <w:t>；</w:t>
      </w:r>
    </w:p>
    <w:p w14:paraId="1BB7E8FE">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2、乙方的权</w:t>
      </w:r>
      <w:r>
        <w:rPr>
          <w:rFonts w:hint="eastAsia" w:ascii="宋体" w:hAnsi="宋体" w:eastAsia="宋体"/>
          <w:sz w:val="21"/>
          <w:szCs w:val="21"/>
          <w:highlight w:val="none"/>
          <w:lang w:val="en-US" w:eastAsia="zh-CN"/>
        </w:rPr>
        <w:t>利</w:t>
      </w:r>
      <w:r>
        <w:rPr>
          <w:rFonts w:hint="eastAsia" w:ascii="宋体" w:hAnsi="宋体" w:eastAsia="宋体"/>
          <w:sz w:val="21"/>
          <w:szCs w:val="21"/>
          <w:highlight w:val="none"/>
        </w:rPr>
        <w:t>与义务</w:t>
      </w:r>
    </w:p>
    <w:p w14:paraId="1BDB9BAA">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花岗岩毛石</w:t>
      </w:r>
      <w:r>
        <w:rPr>
          <w:rFonts w:hint="eastAsia" w:ascii="宋体" w:hAnsi="宋体" w:eastAsia="宋体"/>
          <w:sz w:val="21"/>
          <w:szCs w:val="21"/>
          <w:highlight w:val="none"/>
        </w:rPr>
        <w:t>资源存有不可预见的自然因素变化、政策法规变化等风险，乙方须自行承担风险所带来的损失；</w:t>
      </w:r>
    </w:p>
    <w:p w14:paraId="1EE89417">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（2）乙方应认真了解相关情况，阅读相关资料，并到现场实地踏勘，充分评估投资风险，本合同签订后视为对本次</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销售无异议，不得以</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运输条件差、发生不可抗力等为由向甲方提出退款、索赔；</w:t>
      </w:r>
    </w:p>
    <w:p w14:paraId="3967C46B">
      <w:pPr>
        <w:spacing w:line="276" w:lineRule="auto"/>
        <w:ind w:firstLine="420"/>
        <w:rPr>
          <w:rFonts w:hint="default" w:ascii="宋体" w:hAnsi="宋体" w:eastAsia="宋体"/>
          <w:sz w:val="21"/>
          <w:szCs w:val="21"/>
          <w:highlight w:val="none"/>
          <w:lang w:val="en-US" w:eastAsia="zh-CN"/>
        </w:rPr>
      </w:pPr>
      <w:r>
        <w:rPr>
          <w:rFonts w:hint="eastAsia" w:ascii="宋体" w:hAnsi="宋体" w:eastAsia="宋体"/>
          <w:sz w:val="21"/>
          <w:szCs w:val="21"/>
          <w:highlight w:val="none"/>
        </w:rPr>
        <w:t>（3）</w:t>
      </w:r>
      <w:r>
        <w:rPr>
          <w:rFonts w:hint="eastAsia" w:ascii="宋体" w:hAnsi="宋体" w:eastAsia="宋体"/>
          <w:sz w:val="21"/>
          <w:szCs w:val="21"/>
          <w:highlight w:val="none"/>
          <w:lang w:val="en-US" w:eastAsia="zh-CN"/>
        </w:rPr>
        <w:t>乙方应根据甲方安排提货，不得无故拒绝或调整提货计划。</w:t>
      </w:r>
    </w:p>
    <w:p w14:paraId="62CBA317">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lang w:eastAsia="zh-CN"/>
        </w:rPr>
        <w:t>）</w:t>
      </w:r>
      <w:r>
        <w:rPr>
          <w:rFonts w:hint="eastAsia" w:ascii="宋体" w:hAnsi="宋体" w:eastAsia="宋体"/>
          <w:sz w:val="21"/>
          <w:szCs w:val="21"/>
          <w:highlight w:val="none"/>
        </w:rPr>
        <w:t>乙方应保证在进行运输过程中一切人员、财产安全，如发生安全事故等，由乙方承担全部的损失及赔偿责任，与甲方无关，造成刑事责任的追究乙方相关人员责任。如因乙方原因造成安全事故，并且因此造成甲方损失的，应承担赔偿责任；</w:t>
      </w:r>
    </w:p>
    <w:p w14:paraId="31C6532E">
      <w:pPr>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乙方应向甲方提供符合运营要求的运输车辆及司机身份信息资料进行备案，乙方不得擅自更换备案后的运输车辆及司机，如需更换的，应经甲方同意并重新提交更换后的运输车辆或司机信息资料进行备案。乙方未经甲方允许擅自更换运输车辆或司机，并因此造成甲方损失的，由乙方承担赔偿责任。</w:t>
      </w:r>
    </w:p>
    <w:p w14:paraId="3E062400">
      <w:pPr>
        <w:adjustRightInd w:val="0"/>
        <w:snapToGrid w:val="0"/>
        <w:spacing w:line="276" w:lineRule="auto"/>
        <w:ind w:firstLine="422"/>
        <w:outlineLvl w:val="0"/>
        <w:rPr>
          <w:rFonts w:hint="eastAsia" w:ascii="宋体" w:hAnsi="宋体" w:eastAsia="宋体"/>
          <w:b/>
          <w:sz w:val="21"/>
          <w:szCs w:val="21"/>
          <w:highlight w:val="none"/>
        </w:rPr>
      </w:pPr>
      <w:r>
        <w:rPr>
          <w:rFonts w:hint="eastAsia" w:ascii="宋体" w:hAnsi="宋体" w:eastAsia="宋体"/>
          <w:b/>
          <w:sz w:val="21"/>
          <w:szCs w:val="21"/>
          <w:highlight w:val="none"/>
        </w:rPr>
        <w:t>第七条  所有权及风险转移</w:t>
      </w:r>
    </w:p>
    <w:p w14:paraId="0B77169C">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1、产品的所有权自甲方交付乙方且乙方已付清货款时转移。</w:t>
      </w:r>
    </w:p>
    <w:p w14:paraId="287CB3CA">
      <w:pPr>
        <w:adjustRightInd w:val="0"/>
        <w:snapToGrid w:val="0"/>
        <w:spacing w:line="276" w:lineRule="auto"/>
        <w:ind w:left="420" w:firstLine="0" w:firstLineChars="0"/>
        <w:rPr>
          <w:rFonts w:hint="eastAsia" w:ascii="宋体" w:hAnsi="宋体" w:eastAsia="宋体"/>
          <w:sz w:val="21"/>
          <w:szCs w:val="21"/>
          <w:highlight w:val="none"/>
        </w:rPr>
      </w:pPr>
      <w:r>
        <w:rPr>
          <w:rFonts w:hint="eastAsia" w:ascii="宋体" w:hAnsi="宋体" w:eastAsia="宋体"/>
          <w:sz w:val="21"/>
          <w:szCs w:val="21"/>
          <w:highlight w:val="none"/>
        </w:rPr>
        <w:t>2、产品的毁损、灭失风险自甲方交付给乙方时发生转移。</w:t>
      </w:r>
    </w:p>
    <w:p w14:paraId="602BB3BB">
      <w:pPr>
        <w:adjustRightInd w:val="0"/>
        <w:snapToGrid w:val="0"/>
        <w:spacing w:line="276" w:lineRule="auto"/>
        <w:ind w:firstLine="0" w:firstLineChars="0"/>
        <w:rPr>
          <w:rFonts w:hint="eastAsia" w:ascii="宋体" w:hAnsi="宋体" w:eastAsia="宋体"/>
          <w:b/>
          <w:sz w:val="21"/>
          <w:szCs w:val="21"/>
          <w:highlight w:val="none"/>
        </w:rPr>
      </w:pPr>
      <w:r>
        <w:rPr>
          <w:rFonts w:hint="eastAsia" w:ascii="宋体" w:hAnsi="宋体" w:eastAsia="宋体"/>
          <w:sz w:val="21"/>
          <w:szCs w:val="21"/>
          <w:highlight w:val="none"/>
        </w:rPr>
        <w:t xml:space="preserve">    </w:t>
      </w:r>
      <w:r>
        <w:rPr>
          <w:rFonts w:hint="eastAsia" w:ascii="宋体" w:hAnsi="宋体" w:eastAsia="宋体"/>
          <w:b/>
          <w:sz w:val="21"/>
          <w:szCs w:val="21"/>
          <w:highlight w:val="none"/>
        </w:rPr>
        <w:t>第八条  合同的变更</w:t>
      </w:r>
    </w:p>
    <w:p w14:paraId="672906E9">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1、除本合同另有约定外本合同下的任何条款变更或补充,须由甲、乙双方协商解决并签订书面补充协议，补充协议与本合同具有同等法律效力。</w:t>
      </w:r>
    </w:p>
    <w:p w14:paraId="79250733">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、合同</w:t>
      </w:r>
      <w:r>
        <w:rPr>
          <w:rFonts w:hint="eastAsia" w:ascii="宋体" w:hAnsi="宋体" w:eastAsia="宋体"/>
          <w:sz w:val="21"/>
          <w:szCs w:val="21"/>
          <w:highlight w:val="none"/>
          <w:lang w:val="en-US" w:eastAsia="zh-CN"/>
        </w:rPr>
        <w:t>约定的毛石总量及单价不进行调整，如遇国家法律法规或行业标准等因素产生税率调整的，不含税价保持不变</w:t>
      </w:r>
      <w:r>
        <w:rPr>
          <w:rFonts w:hint="eastAsia" w:ascii="宋体" w:hAnsi="宋体" w:eastAsia="宋体"/>
          <w:sz w:val="21"/>
          <w:szCs w:val="21"/>
          <w:highlight w:val="none"/>
        </w:rPr>
        <w:t>。</w:t>
      </w:r>
    </w:p>
    <w:p w14:paraId="45428CFD">
      <w:pPr>
        <w:adjustRightInd w:val="0"/>
        <w:snapToGrid w:val="0"/>
        <w:spacing w:line="276" w:lineRule="auto"/>
        <w:ind w:firstLine="413" w:firstLineChars="196"/>
        <w:rPr>
          <w:rFonts w:hint="eastAsia" w:ascii="宋体" w:hAnsi="宋体" w:eastAsia="宋体"/>
          <w:b/>
          <w:sz w:val="21"/>
          <w:szCs w:val="21"/>
          <w:highlight w:val="none"/>
        </w:rPr>
      </w:pPr>
      <w:r>
        <w:rPr>
          <w:rFonts w:hint="eastAsia" w:ascii="宋体" w:hAnsi="宋体" w:eastAsia="宋体"/>
          <w:b/>
          <w:sz w:val="21"/>
          <w:szCs w:val="21"/>
          <w:highlight w:val="none"/>
        </w:rPr>
        <w:t>第九条  通知</w:t>
      </w:r>
    </w:p>
    <w:p w14:paraId="6375DEF8">
      <w:pPr>
        <w:adjustRightInd w:val="0"/>
        <w:snapToGrid w:val="0"/>
        <w:spacing w:line="276" w:lineRule="auto"/>
        <w:ind w:firstLine="420"/>
        <w:rPr>
          <w:rFonts w:hint="eastAsia" w:ascii="宋体" w:hAnsi="宋体" w:eastAsia="宋体"/>
          <w:sz w:val="21"/>
          <w:szCs w:val="21"/>
          <w:highlight w:val="none"/>
          <w:lang w:val="en-GB"/>
        </w:rPr>
      </w:pPr>
      <w:r>
        <w:rPr>
          <w:rFonts w:hint="eastAsia" w:ascii="宋体" w:hAnsi="宋体" w:eastAsia="宋体"/>
          <w:sz w:val="21"/>
          <w:szCs w:val="21"/>
          <w:highlight w:val="none"/>
          <w:lang w:val="en-GB"/>
        </w:rPr>
        <w:t>1、本合同履行期间，甲、乙双方所有的通讯联络应以</w:t>
      </w:r>
      <w:r>
        <w:rPr>
          <w:rFonts w:hint="eastAsia" w:ascii="宋体" w:hAnsi="宋体" w:eastAsia="宋体" w:cs="宋体"/>
          <w:sz w:val="21"/>
          <w:szCs w:val="21"/>
          <w:highlight w:val="none"/>
        </w:rPr>
        <w:t>包括</w:t>
      </w:r>
      <w:r>
        <w:rPr>
          <w:rFonts w:hint="eastAsia" w:ascii="宋体" w:hAnsi="宋体" w:eastAsia="宋体"/>
          <w:sz w:val="21"/>
          <w:szCs w:val="21"/>
          <w:highlight w:val="none"/>
          <w:lang w:val="en-GB"/>
        </w:rPr>
        <w:t>电话/</w:t>
      </w:r>
      <w:r>
        <w:rPr>
          <w:rFonts w:hint="eastAsia" w:ascii="宋体" w:hAnsi="宋体" w:eastAsia="宋体" w:cs="宋体"/>
          <w:sz w:val="21"/>
          <w:szCs w:val="21"/>
          <w:highlight w:val="none"/>
        </w:rPr>
        <w:t>短信/微信/电子邮件在内的方式进行</w:t>
      </w:r>
      <w:r>
        <w:rPr>
          <w:rFonts w:hint="eastAsia" w:ascii="宋体" w:hAnsi="宋体" w:eastAsia="宋体"/>
          <w:sz w:val="21"/>
          <w:szCs w:val="21"/>
          <w:highlight w:val="none"/>
          <w:lang w:val="en-GB"/>
        </w:rPr>
        <w:t>。</w:t>
      </w:r>
    </w:p>
    <w:p w14:paraId="47A6257B">
      <w:pPr>
        <w:adjustRightInd w:val="0"/>
        <w:snapToGrid w:val="0"/>
        <w:spacing w:line="276" w:lineRule="auto"/>
        <w:ind w:firstLine="420"/>
        <w:rPr>
          <w:rFonts w:hint="eastAsia" w:ascii="宋体" w:hAnsi="宋体" w:eastAsia="宋体"/>
          <w:sz w:val="21"/>
          <w:szCs w:val="21"/>
          <w:highlight w:val="none"/>
          <w:lang w:val="en-GB"/>
        </w:rPr>
      </w:pPr>
      <w:r>
        <w:rPr>
          <w:rFonts w:hint="eastAsia" w:ascii="宋体" w:hAnsi="宋体" w:eastAsia="宋体"/>
          <w:sz w:val="21"/>
          <w:szCs w:val="21"/>
          <w:highlight w:val="none"/>
          <w:lang w:val="en-GB"/>
        </w:rPr>
        <w:t>2、任何一方按本合同的规定发出的任何通知或书面通讯，均应以中文书写，并用速递方式迅速发往或寄往对方。</w:t>
      </w:r>
    </w:p>
    <w:p w14:paraId="242B9FD3">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GB"/>
        </w:rPr>
        <w:t>（1）用电话/</w:t>
      </w:r>
      <w:r>
        <w:rPr>
          <w:rFonts w:hint="eastAsia" w:ascii="宋体" w:hAnsi="宋体" w:eastAsia="宋体" w:cs="宋体"/>
          <w:sz w:val="21"/>
          <w:szCs w:val="21"/>
          <w:highlight w:val="none"/>
        </w:rPr>
        <w:t>短信/微信/电子邮件</w:t>
      </w:r>
      <w:r>
        <w:rPr>
          <w:rFonts w:hint="eastAsia" w:ascii="宋体" w:hAnsi="宋体" w:eastAsia="宋体"/>
          <w:sz w:val="21"/>
          <w:szCs w:val="21"/>
          <w:highlight w:val="none"/>
          <w:lang w:val="en-GB"/>
        </w:rPr>
        <w:t>发出的通知，应在发出通知的3日内</w:t>
      </w:r>
      <w:r>
        <w:rPr>
          <w:rFonts w:hint="eastAsia" w:ascii="宋体" w:hAnsi="宋体" w:eastAsia="宋体"/>
          <w:sz w:val="21"/>
          <w:szCs w:val="21"/>
          <w:highlight w:val="none"/>
        </w:rPr>
        <w:t>补办正式签字及盖章手续的书面通知，并速递给对方；</w:t>
      </w:r>
    </w:p>
    <w:p w14:paraId="555E77D1">
      <w:pPr>
        <w:adjustRightInd w:val="0"/>
        <w:snapToGrid w:val="0"/>
        <w:spacing w:line="276" w:lineRule="auto"/>
        <w:ind w:firstLine="420"/>
        <w:rPr>
          <w:rFonts w:hint="eastAsia" w:ascii="宋体" w:hAnsi="宋体" w:eastAsia="宋体"/>
          <w:sz w:val="21"/>
          <w:szCs w:val="21"/>
          <w:highlight w:val="none"/>
          <w:lang w:val="en-GB"/>
        </w:rPr>
      </w:pPr>
      <w:r>
        <w:rPr>
          <w:rFonts w:hint="eastAsia" w:ascii="宋体" w:hAnsi="宋体" w:eastAsia="宋体"/>
          <w:sz w:val="21"/>
          <w:szCs w:val="21"/>
          <w:highlight w:val="none"/>
          <w:lang w:val="en-GB"/>
        </w:rPr>
        <w:t>（2）用信函发出的通知，则在邮资付讫的挂号信寄出日（以邮戳为凭）后的第5天，或在送交快递服务机构后的第</w:t>
      </w:r>
      <w:r>
        <w:rPr>
          <w:rFonts w:ascii="宋体" w:hAnsi="宋体" w:eastAsia="宋体"/>
          <w:sz w:val="21"/>
          <w:szCs w:val="21"/>
          <w:highlight w:val="none"/>
          <w:lang w:val="en-GB"/>
        </w:rPr>
        <w:t>3</w:t>
      </w:r>
      <w:r>
        <w:rPr>
          <w:rFonts w:hint="eastAsia" w:ascii="宋体" w:hAnsi="宋体" w:eastAsia="宋体"/>
          <w:sz w:val="21"/>
          <w:szCs w:val="21"/>
          <w:highlight w:val="none"/>
          <w:lang w:val="en-GB"/>
        </w:rPr>
        <w:t>天，应视为有效送达；</w:t>
      </w:r>
      <w:r>
        <w:rPr>
          <w:rFonts w:ascii="宋体" w:hAnsi="宋体" w:eastAsia="宋体"/>
          <w:sz w:val="21"/>
          <w:szCs w:val="21"/>
          <w:highlight w:val="none"/>
          <w:lang w:val="en-GB"/>
        </w:rPr>
        <w:t xml:space="preserve"> </w:t>
      </w:r>
    </w:p>
    <w:p w14:paraId="41BDCFB4">
      <w:pPr>
        <w:spacing w:line="276" w:lineRule="auto"/>
        <w:ind w:firstLine="420"/>
        <w:rPr>
          <w:rFonts w:hint="eastAsia" w:ascii="宋体" w:hAnsi="宋体" w:eastAsia="宋体"/>
          <w:sz w:val="21"/>
          <w:szCs w:val="21"/>
          <w:highlight w:val="none"/>
          <w:lang w:val="en-GB"/>
        </w:rPr>
      </w:pPr>
      <w:r>
        <w:rPr>
          <w:rFonts w:hint="eastAsia" w:ascii="宋体" w:hAnsi="宋体" w:eastAsia="宋体" w:cs="宋体"/>
          <w:sz w:val="21"/>
          <w:szCs w:val="21"/>
          <w:highlight w:val="none"/>
        </w:rPr>
        <w:t>除甲、乙双方的地址已按照本条的规定书面通知了对方并经对方书面确认的情况，一切通知均须发往甲、乙双方在本合同中载明的地址。</w:t>
      </w:r>
    </w:p>
    <w:p w14:paraId="4BE97504">
      <w:pPr>
        <w:adjustRightInd w:val="0"/>
        <w:snapToGrid w:val="0"/>
        <w:spacing w:line="276" w:lineRule="auto"/>
        <w:ind w:firstLine="413" w:firstLineChars="196"/>
        <w:rPr>
          <w:rFonts w:hint="eastAsia" w:ascii="宋体" w:hAnsi="宋体" w:eastAsia="宋体"/>
          <w:b/>
          <w:sz w:val="21"/>
          <w:szCs w:val="21"/>
          <w:highlight w:val="none"/>
        </w:rPr>
      </w:pPr>
      <w:r>
        <w:rPr>
          <w:rFonts w:hint="eastAsia" w:ascii="宋体" w:hAnsi="宋体" w:eastAsia="宋体"/>
          <w:b/>
          <w:sz w:val="21"/>
          <w:szCs w:val="21"/>
          <w:highlight w:val="none"/>
        </w:rPr>
        <w:t>第十条  违约责任</w:t>
      </w:r>
    </w:p>
    <w:p w14:paraId="61C2997F">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1、甲方的违约责任</w:t>
      </w:r>
    </w:p>
    <w:p w14:paraId="3AA68CDF">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（1）甲方交付的产品品种、规格、质量若有不符合合同约定的，如乙方同意使用的，应按质论价；乙方不能使用的，应视具体情况由甲方负责更换、退货、并承担相应的费用支出。</w:t>
      </w:r>
      <w:bookmarkStart w:id="0" w:name="_GoBack"/>
      <w:bookmarkEnd w:id="0"/>
    </w:p>
    <w:p w14:paraId="184D03EB">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（2）甲方应根据合同约定向乙方交付</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，因甲方工作计划发生变化未能按时足量提供给乙方的，应提前24小时告知乙方说明缘由，缺量部分由甲乙双方进行协商补足。</w:t>
      </w:r>
    </w:p>
    <w:p w14:paraId="7459B8A1">
      <w:pPr>
        <w:pStyle w:val="2"/>
        <w:rPr>
          <w:rFonts w:hint="default" w:eastAsia="宋体"/>
          <w:lang w:val="en-US" w:eastAsia="zh-CN"/>
        </w:rPr>
      </w:pPr>
      <w:r>
        <w:rPr>
          <w:rFonts w:hint="eastAsia" w:hAnsi="宋体" w:eastAsia="宋体"/>
          <w:sz w:val="21"/>
          <w:szCs w:val="21"/>
          <w:highlight w:val="none"/>
          <w:lang w:eastAsia="zh-CN"/>
        </w:rPr>
        <w:t>（</w:t>
      </w:r>
      <w:r>
        <w:rPr>
          <w:rFonts w:hint="eastAsia" w:hAnsi="宋体" w:eastAsia="宋体"/>
          <w:sz w:val="21"/>
          <w:szCs w:val="21"/>
          <w:highlight w:val="none"/>
          <w:lang w:val="en-US" w:eastAsia="zh-CN"/>
        </w:rPr>
        <w:t>3</w:t>
      </w:r>
      <w:r>
        <w:rPr>
          <w:rFonts w:hint="eastAsia" w:hAnsi="宋体" w:eastAsia="宋体"/>
          <w:sz w:val="21"/>
          <w:szCs w:val="21"/>
          <w:highlight w:val="none"/>
          <w:lang w:eastAsia="zh-CN"/>
        </w:rPr>
        <w:t>）</w:t>
      </w:r>
      <w:r>
        <w:rPr>
          <w:rFonts w:hint="eastAsia" w:hAnsi="宋体" w:eastAsia="宋体"/>
          <w:sz w:val="21"/>
          <w:szCs w:val="21"/>
          <w:highlight w:val="none"/>
          <w:lang w:val="en-US" w:eastAsia="zh-CN"/>
        </w:rPr>
        <w:t>若甲方明确无法于2026年6月</w:t>
      </w:r>
      <w:r>
        <w:rPr>
          <w:rFonts w:hint="eastAsia" w:hAnsi="宋体" w:eastAsia="宋体"/>
          <w:sz w:val="21"/>
          <w:szCs w:val="21"/>
          <w:highlight w:val="none"/>
          <w:lang w:val="en-US" w:eastAsia="zh-CN"/>
        </w:rPr>
        <w:t>内启动交付，视为甲方违约，双方友好协商过具体解决方案。若双方无法达成一致意见，甲方退还已收取的全部预付款，按当期LPR的2倍承担资金占用费，计算日期是从合同约定的延迟之日起至实际交付日。</w:t>
      </w:r>
    </w:p>
    <w:p w14:paraId="69FC7F16">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2、乙方的违约责任</w:t>
      </w:r>
    </w:p>
    <w:p w14:paraId="6E2F31DD">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（1）乙方如错误指示到货地点/收货人，或对甲方订单有任何信息错误的，应当承担因此产生的一切相关损失。</w:t>
      </w:r>
    </w:p>
    <w:p w14:paraId="417407D8">
      <w:pPr>
        <w:pStyle w:val="2"/>
        <w:rPr>
          <w:rFonts w:hint="eastAsia" w:ascii="宋体" w:hAnsi="宋体" w:eastAsia="宋体"/>
          <w:sz w:val="21"/>
          <w:szCs w:val="21"/>
          <w:highlight w:val="none"/>
        </w:rPr>
      </w:pPr>
      <w:r>
        <w:rPr>
          <w:rFonts w:hint="eastAsia" w:hAnsi="宋体" w:eastAsia="宋体"/>
          <w:sz w:val="21"/>
          <w:szCs w:val="21"/>
          <w:highlight w:val="none"/>
          <w:lang w:val="en-US" w:eastAsia="zh-CN"/>
        </w:rPr>
        <w:t>（2）</w:t>
      </w:r>
      <w:r>
        <w:rPr>
          <w:rFonts w:ascii="宋体" w:hAnsi="宋体" w:eastAsia="宋体"/>
          <w:sz w:val="21"/>
          <w:szCs w:val="21"/>
          <w:highlight w:val="none"/>
        </w:rPr>
        <w:t>乙方</w:t>
      </w:r>
      <w:r>
        <w:rPr>
          <w:rFonts w:hint="eastAsia" w:ascii="宋体" w:hAnsi="宋体" w:eastAsia="宋体"/>
          <w:sz w:val="21"/>
          <w:szCs w:val="21"/>
          <w:highlight w:val="none"/>
        </w:rPr>
        <w:t>扰乱</w:t>
      </w:r>
      <w:r>
        <w:rPr>
          <w:rFonts w:ascii="宋体" w:hAnsi="宋体" w:eastAsia="宋体"/>
          <w:sz w:val="21"/>
          <w:szCs w:val="21"/>
          <w:highlight w:val="none"/>
        </w:rPr>
        <w:t>甲方</w:t>
      </w:r>
      <w:r>
        <w:rPr>
          <w:rFonts w:hint="eastAsia" w:ascii="宋体" w:hAnsi="宋体" w:eastAsia="宋体"/>
          <w:sz w:val="21"/>
          <w:szCs w:val="21"/>
          <w:highlight w:val="none"/>
        </w:rPr>
        <w:t>生产经营</w:t>
      </w:r>
      <w:r>
        <w:rPr>
          <w:rFonts w:hint="eastAsia" w:ascii="宋体" w:hAnsi="宋体" w:eastAsia="宋体"/>
          <w:sz w:val="21"/>
          <w:szCs w:val="21"/>
          <w:highlight w:val="none"/>
          <w:lang w:val="en-US" w:eastAsia="zh-CN"/>
        </w:rPr>
        <w:t>或施工计划</w:t>
      </w:r>
      <w:r>
        <w:rPr>
          <w:rFonts w:hint="eastAsia" w:ascii="宋体" w:hAnsi="宋体" w:eastAsia="宋体"/>
          <w:sz w:val="21"/>
          <w:szCs w:val="21"/>
          <w:highlight w:val="none"/>
        </w:rPr>
        <w:t>（包括但不限于</w:t>
      </w:r>
      <w:r>
        <w:rPr>
          <w:rFonts w:hint="eastAsia" w:ascii="宋体" w:hAnsi="宋体" w:eastAsia="宋体"/>
          <w:sz w:val="21"/>
          <w:szCs w:val="21"/>
          <w:highlight w:val="none"/>
          <w:lang w:val="en-US" w:eastAsia="zh-CN"/>
        </w:rPr>
        <w:t>乙方未按照甲方要求</w:t>
      </w:r>
      <w:r>
        <w:rPr>
          <w:rFonts w:hint="eastAsia" w:hAnsi="宋体" w:eastAsia="宋体"/>
          <w:sz w:val="21"/>
          <w:szCs w:val="21"/>
          <w:highlight w:val="none"/>
          <w:lang w:val="en-US" w:eastAsia="zh-CN"/>
        </w:rPr>
        <w:t>增减</w:t>
      </w:r>
      <w:r>
        <w:rPr>
          <w:rFonts w:hint="eastAsia" w:ascii="宋体" w:hAnsi="宋体" w:eastAsia="宋体"/>
          <w:sz w:val="21"/>
          <w:szCs w:val="21"/>
          <w:highlight w:val="none"/>
          <w:lang w:val="en-US" w:eastAsia="zh-CN"/>
        </w:rPr>
        <w:t>车辆、未按照甲方要求的种类提货、</w:t>
      </w:r>
      <w:r>
        <w:rPr>
          <w:rFonts w:hint="eastAsia" w:ascii="宋体" w:hAnsi="宋体" w:eastAsia="宋体"/>
          <w:sz w:val="21"/>
          <w:szCs w:val="21"/>
          <w:highlight w:val="none"/>
        </w:rPr>
        <w:t>阻碍甲方进行任何产品生产、销售或发运）的</w:t>
      </w:r>
      <w:r>
        <w:rPr>
          <w:rFonts w:ascii="宋体" w:hAnsi="宋体" w:eastAsia="宋体"/>
          <w:sz w:val="21"/>
          <w:szCs w:val="21"/>
          <w:highlight w:val="none"/>
        </w:rPr>
        <w:t>，</w:t>
      </w:r>
      <w:r>
        <w:rPr>
          <w:rFonts w:hint="eastAsia" w:ascii="宋体" w:hAnsi="宋体" w:eastAsia="宋体"/>
          <w:sz w:val="21"/>
          <w:szCs w:val="21"/>
          <w:highlight w:val="none"/>
        </w:rPr>
        <w:t>甲方</w:t>
      </w:r>
      <w:r>
        <w:rPr>
          <w:rFonts w:ascii="宋体" w:hAnsi="宋体" w:eastAsia="宋体"/>
          <w:sz w:val="21"/>
          <w:szCs w:val="21"/>
          <w:highlight w:val="none"/>
        </w:rPr>
        <w:t>有权</w:t>
      </w:r>
      <w:r>
        <w:rPr>
          <w:rFonts w:hint="eastAsia" w:ascii="宋体" w:hAnsi="宋体" w:eastAsia="宋体"/>
          <w:sz w:val="21"/>
          <w:szCs w:val="21"/>
          <w:highlight w:val="none"/>
        </w:rPr>
        <w:t>按</w:t>
      </w:r>
      <w:r>
        <w:rPr>
          <w:rFonts w:ascii="宋体" w:hAnsi="宋体" w:eastAsia="宋体"/>
          <w:sz w:val="21"/>
          <w:szCs w:val="21"/>
          <w:highlight w:val="none"/>
        </w:rPr>
        <w:t>2</w:t>
      </w:r>
      <w:r>
        <w:rPr>
          <w:rFonts w:hint="eastAsia" w:ascii="宋体" w:hAnsi="宋体" w:eastAsia="宋体"/>
          <w:sz w:val="21"/>
          <w:szCs w:val="21"/>
          <w:highlight w:val="none"/>
        </w:rPr>
        <w:t>万元/次向乙方计收违约金，同时有权终止本合同</w:t>
      </w:r>
      <w:r>
        <w:rPr>
          <w:rFonts w:ascii="宋体" w:hAnsi="宋体" w:eastAsia="宋体"/>
          <w:sz w:val="21"/>
          <w:szCs w:val="21"/>
          <w:highlight w:val="none"/>
        </w:rPr>
        <w:t>，并要求乙方赔偿</w:t>
      </w:r>
      <w:r>
        <w:rPr>
          <w:rFonts w:hint="eastAsia" w:ascii="宋体" w:hAnsi="宋体" w:eastAsia="宋体"/>
          <w:sz w:val="21"/>
          <w:szCs w:val="21"/>
          <w:highlight w:val="none"/>
        </w:rPr>
        <w:t>由此给甲方</w:t>
      </w:r>
      <w:r>
        <w:rPr>
          <w:rFonts w:ascii="宋体" w:hAnsi="宋体" w:eastAsia="宋体"/>
          <w:sz w:val="21"/>
          <w:szCs w:val="21"/>
          <w:highlight w:val="none"/>
        </w:rPr>
        <w:t>造成的损失。</w:t>
      </w:r>
    </w:p>
    <w:p w14:paraId="4F489FEA">
      <w:pPr>
        <w:adjustRightInd w:val="0"/>
        <w:snapToGrid w:val="0"/>
        <w:spacing w:line="276" w:lineRule="auto"/>
        <w:ind w:firstLine="411" w:firstLineChars="196"/>
        <w:outlineLvl w:val="0"/>
        <w:rPr>
          <w:rFonts w:hint="eastAsia"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）乙方不得有恶意竞争行为，从而恶意低价冲击拉低周边</w:t>
      </w:r>
      <w:r>
        <w:rPr>
          <w:rFonts w:hint="eastAsia" w:ascii="宋体" w:hAnsi="宋体" w:eastAsia="宋体"/>
          <w:sz w:val="21"/>
          <w:szCs w:val="21"/>
          <w:highlight w:val="none"/>
          <w:lang w:val="en-US" w:eastAsia="zh-CN"/>
        </w:rPr>
        <w:t>砂石土料</w:t>
      </w:r>
      <w:r>
        <w:rPr>
          <w:rFonts w:hint="eastAsia" w:ascii="宋体" w:hAnsi="宋体" w:eastAsia="宋体"/>
          <w:sz w:val="21"/>
          <w:szCs w:val="21"/>
          <w:highlight w:val="none"/>
        </w:rPr>
        <w:t>市场价格，如有发生，视为乙方违约。甲方</w:t>
      </w:r>
      <w:r>
        <w:rPr>
          <w:rFonts w:ascii="宋体" w:hAnsi="宋体" w:eastAsia="宋体"/>
          <w:sz w:val="21"/>
          <w:szCs w:val="21"/>
          <w:highlight w:val="none"/>
        </w:rPr>
        <w:t>有权</w:t>
      </w:r>
      <w:r>
        <w:rPr>
          <w:rFonts w:hint="eastAsia" w:ascii="宋体" w:hAnsi="宋体" w:eastAsia="宋体"/>
          <w:sz w:val="21"/>
          <w:szCs w:val="21"/>
          <w:highlight w:val="none"/>
        </w:rPr>
        <w:t>无条件终止本合同</w:t>
      </w:r>
      <w:r>
        <w:rPr>
          <w:rFonts w:ascii="宋体" w:hAnsi="宋体" w:eastAsia="宋体"/>
          <w:sz w:val="21"/>
          <w:szCs w:val="21"/>
          <w:highlight w:val="none"/>
        </w:rPr>
        <w:t>，并要求乙方赔偿</w:t>
      </w:r>
      <w:r>
        <w:rPr>
          <w:rFonts w:hint="eastAsia" w:ascii="宋体" w:hAnsi="宋体" w:eastAsia="宋体"/>
          <w:sz w:val="21"/>
          <w:szCs w:val="21"/>
          <w:highlight w:val="none"/>
        </w:rPr>
        <w:t>由此给甲方</w:t>
      </w:r>
      <w:r>
        <w:rPr>
          <w:rFonts w:ascii="宋体" w:hAnsi="宋体" w:eastAsia="宋体"/>
          <w:sz w:val="21"/>
          <w:szCs w:val="21"/>
          <w:highlight w:val="none"/>
        </w:rPr>
        <w:t>造成的损失</w:t>
      </w:r>
      <w:r>
        <w:rPr>
          <w:rFonts w:hint="eastAsia" w:ascii="宋体" w:hAnsi="宋体" w:eastAsia="宋体"/>
          <w:sz w:val="21"/>
          <w:szCs w:val="21"/>
          <w:highlight w:val="none"/>
        </w:rPr>
        <w:t>。</w:t>
      </w:r>
    </w:p>
    <w:p w14:paraId="33579DB0">
      <w:pPr>
        <w:adjustRightInd w:val="0"/>
        <w:snapToGrid w:val="0"/>
        <w:spacing w:line="276" w:lineRule="auto"/>
        <w:ind w:firstLine="411" w:firstLineChars="196"/>
        <w:outlineLvl w:val="0"/>
        <w:rPr>
          <w:rFonts w:hint="eastAsia"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）甲方有权从乙方的任何一笔预付款或其他款项中直接扣除乙方应付的赔偿金、违约金或滞期费等费用。</w:t>
      </w:r>
    </w:p>
    <w:p w14:paraId="5C535C7A">
      <w:pPr>
        <w:pStyle w:val="2"/>
        <w:rPr>
          <w:rFonts w:hint="eastAsia" w:hAnsi="宋体" w:eastAsia="宋体"/>
          <w:sz w:val="21"/>
          <w:szCs w:val="21"/>
          <w:highlight w:val="none"/>
        </w:rPr>
      </w:pPr>
      <w:r>
        <w:rPr>
          <w:rFonts w:hint="eastAsia" w:hAnsi="宋体" w:eastAsia="宋体"/>
          <w:sz w:val="21"/>
          <w:szCs w:val="21"/>
          <w:highlight w:val="none"/>
        </w:rPr>
        <w:t>（</w:t>
      </w:r>
      <w:r>
        <w:rPr>
          <w:rFonts w:hint="eastAsia" w:hAnsi="宋体" w:eastAsia="宋体"/>
          <w:sz w:val="21"/>
          <w:szCs w:val="21"/>
          <w:highlight w:val="none"/>
          <w:lang w:val="en-US" w:eastAsia="zh-CN"/>
        </w:rPr>
        <w:t>5</w:t>
      </w:r>
      <w:r>
        <w:rPr>
          <w:rFonts w:hint="eastAsia" w:hAnsi="宋体" w:eastAsia="宋体"/>
          <w:sz w:val="21"/>
          <w:szCs w:val="21"/>
          <w:highlight w:val="none"/>
        </w:rPr>
        <w:t>）乙方拒绝履行合同义务</w:t>
      </w:r>
      <w:r>
        <w:rPr>
          <w:rFonts w:hint="eastAsia" w:hAnsi="宋体" w:eastAsia="宋体"/>
          <w:sz w:val="21"/>
          <w:szCs w:val="21"/>
          <w:highlight w:val="none"/>
          <w:lang w:val="en-US" w:eastAsia="zh-CN"/>
        </w:rPr>
        <w:t>未及时</w:t>
      </w:r>
      <w:r>
        <w:rPr>
          <w:rFonts w:hint="eastAsia" w:hAnsi="宋体" w:eastAsia="宋体"/>
          <w:sz w:val="21"/>
          <w:szCs w:val="21"/>
          <w:highlight w:val="none"/>
        </w:rPr>
        <w:t>向甲方支付货款或</w:t>
      </w:r>
      <w:r>
        <w:rPr>
          <w:rFonts w:hint="eastAsia" w:hAnsi="宋体" w:eastAsia="宋体"/>
          <w:sz w:val="21"/>
          <w:szCs w:val="21"/>
          <w:highlight w:val="none"/>
          <w:lang w:val="en-US" w:eastAsia="zh-CN"/>
        </w:rPr>
        <w:t>按要求安排</w:t>
      </w:r>
      <w:r>
        <w:rPr>
          <w:rFonts w:hint="eastAsia" w:hAnsi="宋体" w:eastAsia="宋体"/>
          <w:sz w:val="21"/>
          <w:szCs w:val="21"/>
          <w:highlight w:val="none"/>
        </w:rPr>
        <w:t>提货的，应支付甲方剩余材料货款总金额1</w:t>
      </w:r>
      <w:r>
        <w:rPr>
          <w:rFonts w:hAnsi="宋体" w:eastAsia="宋体"/>
          <w:sz w:val="21"/>
          <w:szCs w:val="21"/>
          <w:highlight w:val="none"/>
        </w:rPr>
        <w:t>0%</w:t>
      </w:r>
      <w:r>
        <w:rPr>
          <w:rFonts w:hint="eastAsia" w:hAnsi="宋体" w:eastAsia="宋体"/>
          <w:sz w:val="21"/>
          <w:szCs w:val="21"/>
          <w:highlight w:val="none"/>
        </w:rPr>
        <w:t>的违约金，并赔偿因此给甲方造成的工期延误损失。</w:t>
      </w:r>
    </w:p>
    <w:p w14:paraId="57AB2D30">
      <w:pPr>
        <w:pStyle w:val="2"/>
        <w:rPr>
          <w:rFonts w:hAnsi="宋体" w:eastAsia="宋体"/>
          <w:sz w:val="21"/>
          <w:szCs w:val="21"/>
          <w:highlight w:val="none"/>
        </w:rPr>
      </w:pPr>
      <w:r>
        <w:rPr>
          <w:rFonts w:hint="eastAsia" w:hAnsi="宋体" w:eastAsia="宋体"/>
          <w:sz w:val="21"/>
          <w:szCs w:val="21"/>
          <w:highlight w:val="none"/>
        </w:rPr>
        <w:t>（</w:t>
      </w:r>
      <w:r>
        <w:rPr>
          <w:rFonts w:hint="eastAsia" w:hAnsi="宋体" w:eastAsia="宋体"/>
          <w:sz w:val="21"/>
          <w:szCs w:val="21"/>
          <w:highlight w:val="none"/>
          <w:lang w:val="en-US" w:eastAsia="zh-CN"/>
        </w:rPr>
        <w:t>6</w:t>
      </w:r>
      <w:r>
        <w:rPr>
          <w:rFonts w:hint="eastAsia" w:hAnsi="宋体" w:eastAsia="宋体"/>
          <w:sz w:val="21"/>
          <w:szCs w:val="21"/>
          <w:highlight w:val="none"/>
        </w:rPr>
        <w:t>）乙方在甲方指定地点提货过程中，乙方工作人员及车辆应严格遵守甲方厂区内的规章制度，由于乙方工作人员、车辆等自身原因导致发生安全生产事故，乙方自行承担因此造成的所有损失。如甲方因此承担相应赔偿责任的，乙方应无条件向甲方支付甲方由此承担的全部赔偿金额。</w:t>
      </w:r>
    </w:p>
    <w:p w14:paraId="174A5D8D">
      <w:pPr>
        <w:pStyle w:val="2"/>
        <w:rPr>
          <w:rFonts w:hint="eastAsia" w:hAnsi="宋体" w:eastAsia="宋体"/>
          <w:sz w:val="21"/>
          <w:szCs w:val="21"/>
          <w:highlight w:val="none"/>
        </w:rPr>
      </w:pPr>
      <w:r>
        <w:rPr>
          <w:rFonts w:hint="eastAsia" w:hAnsi="宋体" w:eastAsia="宋体"/>
          <w:sz w:val="21"/>
          <w:szCs w:val="21"/>
          <w:highlight w:val="none"/>
        </w:rPr>
        <w:t>（</w:t>
      </w:r>
      <w:r>
        <w:rPr>
          <w:rFonts w:hint="eastAsia" w:hAnsi="宋体" w:eastAsia="宋体"/>
          <w:sz w:val="21"/>
          <w:szCs w:val="21"/>
          <w:highlight w:val="none"/>
          <w:lang w:val="en-US" w:eastAsia="zh-CN"/>
        </w:rPr>
        <w:t>7</w:t>
      </w:r>
      <w:r>
        <w:rPr>
          <w:rFonts w:hint="eastAsia" w:hAnsi="宋体" w:eastAsia="宋体"/>
          <w:sz w:val="21"/>
          <w:szCs w:val="21"/>
          <w:highlight w:val="none"/>
        </w:rPr>
        <w:t>）乙方应向甲方提供符合运营要求的运输车辆及司机身份信息资料进行备案，未经备案的运输车辆及司机，不得进行运输工作。乙方不得擅自更换备案后的运输车辆及司机，如需更换的，应经甲方同意并重新提交更换的运输车辆或司机信息资料进行备案后才能进行运输作业。乙方未经甲方允许擅自更换运输车辆或司机，经发现第一次提出整改要求；第二次发生乙方需支付罚金10000元，甲方将出具整改通知单；再发生第三次的，视为乙方违约，甲方有权依法解除合同，并不退还留存货款，由此造成的全部损失由乙方承担。</w:t>
      </w:r>
    </w:p>
    <w:p w14:paraId="4075CAA8">
      <w:pPr>
        <w:adjustRightInd w:val="0"/>
        <w:snapToGrid w:val="0"/>
        <w:spacing w:line="276" w:lineRule="auto"/>
        <w:ind w:firstLine="413" w:firstLineChars="196"/>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第十一条  免责条款</w:t>
      </w:r>
    </w:p>
    <w:p w14:paraId="3A49F3DC">
      <w:pPr>
        <w:adjustRightInd w:val="0"/>
        <w:snapToGrid w:val="0"/>
        <w:spacing w:line="276" w:lineRule="auto"/>
        <w:ind w:firstLine="411" w:firstLineChars="196"/>
        <w:outlineLvl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在履行本合同的过程中，由于出现不可抗力的事由，导致本合同不能履行时，一方应当在事发后72小时内通知对方并附政府主管部门出具的证明文件，方可在不可抗力影响范围内免除其不履行部分的违约责任。</w:t>
      </w:r>
    </w:p>
    <w:p w14:paraId="706705DD">
      <w:pPr>
        <w:snapToGrid w:val="0"/>
        <w:spacing w:line="276" w:lineRule="auto"/>
        <w:ind w:firstLine="411" w:firstLineChars="196"/>
        <w:outlineLvl w:val="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甲方供货进度以甲方工程进度为准，如需长时间暂停或减少供货量时甲方应及时通知乙方，双方友好协商合同履约事宜，甲方不承担因交货不及时而产生的任何违约责任。若协商不成，双方可完成结算并解除合同，甲方无息退回结算后剩余的预付货款。</w:t>
      </w:r>
    </w:p>
    <w:p w14:paraId="4BF0C3B4">
      <w:pPr>
        <w:adjustRightInd w:val="0"/>
        <w:snapToGrid w:val="0"/>
        <w:spacing w:line="276" w:lineRule="auto"/>
        <w:ind w:firstLine="422"/>
        <w:outlineLvl w:val="0"/>
        <w:rPr>
          <w:rFonts w:hint="eastAsia" w:ascii="宋体" w:hAnsi="宋体" w:eastAsia="宋体"/>
          <w:b/>
          <w:sz w:val="21"/>
          <w:szCs w:val="21"/>
          <w:highlight w:val="none"/>
        </w:rPr>
      </w:pPr>
      <w:r>
        <w:rPr>
          <w:rFonts w:hint="eastAsia" w:ascii="宋体" w:hAnsi="宋体" w:eastAsia="宋体"/>
          <w:b/>
          <w:sz w:val="21"/>
          <w:szCs w:val="21"/>
          <w:highlight w:val="none"/>
        </w:rPr>
        <w:t>第十二条  争议解决</w:t>
      </w:r>
    </w:p>
    <w:p w14:paraId="12D16C7B">
      <w:pPr>
        <w:adjustRightInd w:val="0"/>
        <w:snapToGrid w:val="0"/>
        <w:spacing w:line="276" w:lineRule="auto"/>
        <w:ind w:firstLine="420"/>
        <w:rPr>
          <w:rFonts w:hint="default" w:ascii="宋体" w:hAnsi="宋体" w:eastAsia="宋体"/>
          <w:sz w:val="21"/>
          <w:szCs w:val="21"/>
          <w:highlight w:val="none"/>
          <w:lang w:val="en-US" w:eastAsia="zh-CN"/>
        </w:rPr>
      </w:pPr>
      <w:r>
        <w:rPr>
          <w:rFonts w:hint="eastAsia" w:ascii="宋体" w:hAnsi="宋体" w:eastAsia="宋体"/>
          <w:sz w:val="21"/>
          <w:szCs w:val="21"/>
          <w:highlight w:val="none"/>
        </w:rPr>
        <w:t>因本合同所发生的任何争议，由甲、乙双方协商解决；若协商不成，应向甲方所在地有管辖权的人民法院</w:t>
      </w:r>
      <w:r>
        <w:rPr>
          <w:rFonts w:hint="eastAsia" w:ascii="宋体" w:hAnsi="宋体" w:eastAsia="宋体"/>
          <w:sz w:val="22"/>
          <w:szCs w:val="22"/>
          <w:highlight w:val="none"/>
        </w:rPr>
        <w:t>诉讼</w:t>
      </w:r>
      <w:r>
        <w:rPr>
          <w:rFonts w:hint="eastAsia" w:ascii="宋体" w:hAnsi="宋体" w:eastAsia="宋体"/>
          <w:sz w:val="21"/>
          <w:szCs w:val="21"/>
          <w:highlight w:val="none"/>
        </w:rPr>
        <w:t>。守约方为维护合法权益所支出的合理费用（包括但不限于诉讼费、律师费、保全保险费、保全费、评估费、鉴定费、差旅费等）均由违约方承担</w:t>
      </w:r>
      <w:r>
        <w:rPr>
          <w:rFonts w:hint="eastAsia" w:ascii="宋体" w:hAnsi="宋体" w:eastAsia="宋体"/>
          <w:sz w:val="21"/>
          <w:szCs w:val="21"/>
          <w:highlight w:val="none"/>
          <w:lang w:val="en-US" w:eastAsia="zh-CN"/>
        </w:rPr>
        <w:t>。</w:t>
      </w:r>
    </w:p>
    <w:p w14:paraId="7E56E140">
      <w:pPr>
        <w:adjustRightInd w:val="0"/>
        <w:snapToGrid w:val="0"/>
        <w:spacing w:line="276" w:lineRule="auto"/>
        <w:ind w:firstLine="422"/>
        <w:outlineLvl w:val="0"/>
        <w:rPr>
          <w:rFonts w:hint="eastAsia" w:ascii="宋体" w:hAnsi="宋体" w:eastAsia="宋体"/>
          <w:b/>
          <w:sz w:val="21"/>
          <w:szCs w:val="21"/>
          <w:highlight w:val="none"/>
        </w:rPr>
      </w:pPr>
      <w:r>
        <w:rPr>
          <w:rFonts w:hint="eastAsia" w:ascii="宋体" w:hAnsi="宋体" w:eastAsia="宋体"/>
          <w:b/>
          <w:sz w:val="21"/>
          <w:szCs w:val="21"/>
          <w:highlight w:val="none"/>
        </w:rPr>
        <w:t>第十三条  其他约定事项</w:t>
      </w:r>
    </w:p>
    <w:p w14:paraId="583343DC">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1、本合同未尽事项，由甲、乙双方协商并签订书面补充合同/协议，补充合同/协议与本合同具有同等效力。</w:t>
      </w:r>
    </w:p>
    <w:p w14:paraId="6A3CAB9B">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2、本合同壹式肆份，甲方执贰份，乙方执贰份，具有同等法律效力。本合同自甲、乙双方签字并盖公章或合同章后生效。</w:t>
      </w:r>
    </w:p>
    <w:p w14:paraId="7E4F2D95">
      <w:pPr>
        <w:spacing w:line="276" w:lineRule="auto"/>
        <w:ind w:firstLine="0" w:firstLineChars="0"/>
        <w:rPr>
          <w:rFonts w:hint="eastAsia" w:ascii="宋体" w:hAnsi="宋体" w:eastAsia="宋体"/>
          <w:sz w:val="21"/>
          <w:szCs w:val="21"/>
          <w:highlight w:val="none"/>
        </w:rPr>
      </w:pPr>
    </w:p>
    <w:p w14:paraId="0CC54054">
      <w:pPr>
        <w:spacing w:line="276"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（以下无正文）</w:t>
      </w:r>
    </w:p>
    <w:p w14:paraId="4281F86F">
      <w:pPr>
        <w:spacing w:line="276" w:lineRule="auto"/>
        <w:ind w:firstLine="0" w:firstLineChars="0"/>
        <w:rPr>
          <w:rFonts w:hint="eastAsia" w:ascii="宋体" w:hAnsi="宋体" w:eastAsia="宋体"/>
          <w:sz w:val="21"/>
          <w:szCs w:val="21"/>
          <w:highlight w:val="none"/>
        </w:rPr>
      </w:pPr>
    </w:p>
    <w:p w14:paraId="59C79BB7">
      <w:pPr>
        <w:spacing w:line="276" w:lineRule="auto"/>
        <w:ind w:firstLine="0" w:firstLineChars="0"/>
        <w:jc w:val="center"/>
        <w:rPr>
          <w:rFonts w:hint="eastAsia" w:ascii="宋体" w:hAnsi="宋体" w:eastAsia="宋体"/>
          <w:sz w:val="21"/>
          <w:szCs w:val="21"/>
          <w:highlight w:val="none"/>
        </w:rPr>
      </w:pPr>
      <w:r>
        <w:rPr>
          <w:rFonts w:ascii="宋体" w:hAnsi="宋体" w:eastAsia="宋体"/>
          <w:sz w:val="21"/>
          <w:szCs w:val="21"/>
          <w:highlight w:val="none"/>
        </w:rPr>
        <w:br w:type="page"/>
      </w:r>
      <w:r>
        <w:rPr>
          <w:rFonts w:hint="eastAsia" w:ascii="宋体" w:hAnsi="宋体" w:eastAsia="宋体"/>
          <w:sz w:val="21"/>
          <w:szCs w:val="21"/>
          <w:highlight w:val="none"/>
        </w:rPr>
        <w:t>（盖章页，无正文）</w:t>
      </w:r>
    </w:p>
    <w:tbl>
      <w:tblPr>
        <w:tblStyle w:val="8"/>
        <w:tblpPr w:leftFromText="180" w:rightFromText="180" w:vertAnchor="text" w:horzAnchor="page" w:tblpXSpec="center" w:tblpY="471"/>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827"/>
        <w:gridCol w:w="3827"/>
      </w:tblGrid>
      <w:tr w14:paraId="452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14:paraId="1E9A8849">
            <w:pPr>
              <w:ind w:firstLine="480"/>
              <w:jc w:val="center"/>
              <w:rPr>
                <w:rFonts w:hint="eastAsia" w:ascii="宋体" w:hAnsi="宋体" w:eastAsia="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6166C15C">
            <w:pPr>
              <w:ind w:firstLine="0" w:firstLineChars="0"/>
              <w:jc w:val="center"/>
              <w:rPr>
                <w:rFonts w:hint="eastAsia" w:ascii="宋体" w:hAnsi="宋体" w:eastAsia="宋体"/>
                <w:b/>
                <w:sz w:val="24"/>
                <w:highlight w:val="none"/>
              </w:rPr>
            </w:pPr>
            <w:r>
              <w:rPr>
                <w:rFonts w:hint="eastAsia" w:ascii="宋体" w:hAnsi="宋体" w:eastAsia="宋体"/>
                <w:b/>
                <w:sz w:val="24"/>
                <w:highlight w:val="none"/>
              </w:rPr>
              <w:t>甲方</w:t>
            </w:r>
          </w:p>
        </w:tc>
        <w:tc>
          <w:tcPr>
            <w:tcW w:w="3827" w:type="dxa"/>
            <w:tcBorders>
              <w:top w:val="single" w:color="auto" w:sz="4" w:space="0"/>
              <w:left w:val="single" w:color="auto" w:sz="4" w:space="0"/>
              <w:bottom w:val="single" w:color="auto" w:sz="4" w:space="0"/>
              <w:right w:val="single" w:color="auto" w:sz="4" w:space="0"/>
            </w:tcBorders>
            <w:vAlign w:val="center"/>
          </w:tcPr>
          <w:p w14:paraId="21822798">
            <w:pPr>
              <w:ind w:firstLine="0" w:firstLineChars="0"/>
              <w:jc w:val="center"/>
              <w:rPr>
                <w:rFonts w:hint="eastAsia" w:ascii="宋体" w:hAnsi="宋体" w:eastAsia="宋体"/>
                <w:b/>
                <w:sz w:val="24"/>
                <w:highlight w:val="none"/>
              </w:rPr>
            </w:pPr>
            <w:r>
              <w:rPr>
                <w:rFonts w:hint="eastAsia" w:ascii="宋体" w:hAnsi="宋体" w:eastAsia="宋体"/>
                <w:b/>
                <w:sz w:val="24"/>
                <w:highlight w:val="none"/>
              </w:rPr>
              <w:t>乙方</w:t>
            </w:r>
          </w:p>
        </w:tc>
      </w:tr>
      <w:tr w14:paraId="70F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2CEE75C">
            <w:pPr>
              <w:ind w:firstLine="0" w:firstLineChars="0"/>
              <w:jc w:val="center"/>
              <w:rPr>
                <w:rFonts w:hint="eastAsia" w:ascii="宋体" w:hAnsi="宋体" w:eastAsia="宋体"/>
                <w:sz w:val="24"/>
                <w:highlight w:val="none"/>
              </w:rPr>
            </w:pPr>
            <w:r>
              <w:rPr>
                <w:rFonts w:hint="eastAsia" w:ascii="宋体" w:hAnsi="宋体" w:eastAsia="宋体"/>
                <w:sz w:val="24"/>
                <w:highlight w:val="none"/>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14:paraId="756DD1D5">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7A179298">
            <w:pPr>
              <w:ind w:firstLine="0" w:firstLineChars="0"/>
              <w:jc w:val="center"/>
              <w:rPr>
                <w:rFonts w:hint="eastAsia" w:ascii="宋体" w:hAnsi="宋体" w:eastAsia="宋体"/>
                <w:sz w:val="24"/>
                <w:highlight w:val="none"/>
                <w:u w:val="none"/>
              </w:rPr>
            </w:pPr>
          </w:p>
        </w:tc>
      </w:tr>
      <w:tr w14:paraId="27B1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4BA0430">
            <w:pPr>
              <w:ind w:firstLine="0" w:firstLineChars="0"/>
              <w:jc w:val="center"/>
              <w:rPr>
                <w:rFonts w:hint="eastAsia" w:ascii="宋体" w:hAnsi="宋体" w:eastAsia="宋体"/>
                <w:sz w:val="24"/>
                <w:highlight w:val="none"/>
              </w:rPr>
            </w:pPr>
            <w:r>
              <w:rPr>
                <w:rFonts w:hint="eastAsia" w:ascii="宋体" w:hAnsi="宋体" w:eastAsia="宋体"/>
                <w:sz w:val="24"/>
                <w:highlight w:val="none"/>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14:paraId="401F6DCB">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2E718B5A">
            <w:pPr>
              <w:ind w:firstLine="0" w:firstLineChars="0"/>
              <w:jc w:val="center"/>
              <w:rPr>
                <w:rFonts w:hint="eastAsia" w:ascii="宋体" w:hAnsi="宋体" w:eastAsia="宋体"/>
                <w:sz w:val="24"/>
                <w:highlight w:val="none"/>
                <w:u w:val="none"/>
              </w:rPr>
            </w:pPr>
          </w:p>
        </w:tc>
      </w:tr>
      <w:tr w14:paraId="4C12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47FF0C9">
            <w:pPr>
              <w:ind w:firstLine="0" w:firstLineChars="0"/>
              <w:jc w:val="center"/>
              <w:rPr>
                <w:rFonts w:hint="eastAsia" w:ascii="宋体" w:hAnsi="宋体" w:eastAsia="宋体"/>
                <w:sz w:val="24"/>
                <w:highlight w:val="none"/>
              </w:rPr>
            </w:pPr>
            <w:r>
              <w:rPr>
                <w:rFonts w:hint="eastAsia" w:ascii="宋体" w:hAnsi="宋体" w:eastAsia="宋体"/>
                <w:sz w:val="24"/>
                <w:highlight w:val="none"/>
              </w:rPr>
              <w:t>电   话</w:t>
            </w:r>
          </w:p>
        </w:tc>
        <w:tc>
          <w:tcPr>
            <w:tcW w:w="3827" w:type="dxa"/>
            <w:tcBorders>
              <w:top w:val="single" w:color="auto" w:sz="4" w:space="0"/>
              <w:left w:val="single" w:color="auto" w:sz="4" w:space="0"/>
              <w:bottom w:val="single" w:color="auto" w:sz="4" w:space="0"/>
              <w:right w:val="single" w:color="auto" w:sz="4" w:space="0"/>
            </w:tcBorders>
            <w:vAlign w:val="center"/>
          </w:tcPr>
          <w:p w14:paraId="00692689">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1F4F3EA4">
            <w:pPr>
              <w:ind w:firstLine="0" w:firstLineChars="0"/>
              <w:jc w:val="center"/>
              <w:rPr>
                <w:rFonts w:hint="eastAsia" w:ascii="宋体" w:hAnsi="宋体" w:eastAsia="宋体"/>
                <w:sz w:val="24"/>
                <w:highlight w:val="none"/>
                <w:u w:val="none"/>
              </w:rPr>
            </w:pPr>
          </w:p>
        </w:tc>
      </w:tr>
      <w:tr w14:paraId="7BE4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6E16563">
            <w:pPr>
              <w:ind w:firstLine="0" w:firstLineChars="0"/>
              <w:jc w:val="center"/>
              <w:rPr>
                <w:rFonts w:hint="eastAsia" w:ascii="宋体" w:hAnsi="宋体" w:eastAsia="宋体"/>
                <w:sz w:val="24"/>
                <w:highlight w:val="none"/>
              </w:rPr>
            </w:pPr>
            <w:r>
              <w:rPr>
                <w:rFonts w:hint="eastAsia" w:ascii="宋体" w:hAnsi="宋体" w:eastAsia="宋体"/>
                <w:sz w:val="24"/>
                <w:highlight w:val="none"/>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14:paraId="32940A23">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272EE21E">
            <w:pPr>
              <w:ind w:firstLine="0" w:firstLineChars="0"/>
              <w:jc w:val="center"/>
              <w:rPr>
                <w:rFonts w:hint="eastAsia" w:ascii="宋体" w:hAnsi="宋体" w:eastAsia="宋体"/>
                <w:sz w:val="24"/>
                <w:highlight w:val="none"/>
                <w:u w:val="none"/>
              </w:rPr>
            </w:pPr>
          </w:p>
        </w:tc>
      </w:tr>
      <w:tr w14:paraId="1AF9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EF5CC5D">
            <w:pPr>
              <w:ind w:firstLine="0" w:firstLineChars="0"/>
              <w:jc w:val="center"/>
              <w:rPr>
                <w:rFonts w:hint="eastAsia" w:ascii="宋体" w:hAnsi="宋体" w:eastAsia="宋体"/>
                <w:sz w:val="24"/>
                <w:highlight w:val="none"/>
              </w:rPr>
            </w:pPr>
            <w:r>
              <w:rPr>
                <w:rFonts w:hint="eastAsia" w:ascii="宋体" w:hAnsi="宋体" w:eastAsia="宋体"/>
                <w:sz w:val="24"/>
                <w:highlight w:val="none"/>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14:paraId="0112A4B7">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3D47D854">
            <w:pPr>
              <w:ind w:firstLine="0" w:firstLineChars="0"/>
              <w:jc w:val="center"/>
              <w:rPr>
                <w:rFonts w:hint="eastAsia" w:ascii="宋体" w:hAnsi="宋体" w:eastAsia="宋体"/>
                <w:sz w:val="24"/>
                <w:highlight w:val="none"/>
                <w:u w:val="none"/>
              </w:rPr>
            </w:pPr>
          </w:p>
        </w:tc>
      </w:tr>
      <w:tr w14:paraId="2CE9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A8E2A08">
            <w:pPr>
              <w:ind w:firstLine="0" w:firstLineChars="0"/>
              <w:jc w:val="center"/>
              <w:rPr>
                <w:rFonts w:hint="eastAsia" w:ascii="宋体" w:hAnsi="宋体" w:eastAsia="宋体"/>
                <w:sz w:val="24"/>
                <w:highlight w:val="none"/>
              </w:rPr>
            </w:pPr>
            <w:r>
              <w:rPr>
                <w:rFonts w:hint="eastAsia" w:ascii="宋体" w:hAnsi="宋体" w:eastAsia="宋体"/>
                <w:sz w:val="24"/>
                <w:highlight w:val="none"/>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14:paraId="6806EBD9">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13976019">
            <w:pPr>
              <w:ind w:firstLine="0" w:firstLineChars="0"/>
              <w:jc w:val="center"/>
              <w:rPr>
                <w:rFonts w:hint="default" w:ascii="宋体" w:hAnsi="宋体" w:eastAsia="宋体"/>
                <w:sz w:val="24"/>
                <w:highlight w:val="none"/>
                <w:lang w:val="en-US" w:eastAsia="zh-CN"/>
              </w:rPr>
            </w:pPr>
          </w:p>
        </w:tc>
      </w:tr>
      <w:tr w14:paraId="4F77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5E0C608">
            <w:pPr>
              <w:ind w:firstLine="0" w:firstLineChars="0"/>
              <w:jc w:val="center"/>
              <w:rPr>
                <w:rFonts w:hint="eastAsia" w:ascii="宋体" w:hAnsi="宋体" w:eastAsia="宋体"/>
                <w:sz w:val="24"/>
                <w:highlight w:val="none"/>
              </w:rPr>
            </w:pPr>
            <w:r>
              <w:rPr>
                <w:rFonts w:hint="eastAsia" w:ascii="宋体" w:hAnsi="宋体" w:eastAsia="宋体"/>
                <w:sz w:val="24"/>
                <w:highlight w:val="none"/>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14:paraId="781DCCA8">
            <w:pPr>
              <w:ind w:firstLine="480"/>
              <w:jc w:val="center"/>
              <w:rPr>
                <w:rFonts w:hint="eastAsia" w:ascii="宋体" w:hAnsi="宋体" w:eastAsia="宋体"/>
                <w:sz w:val="24"/>
                <w:highlight w:val="none"/>
              </w:rPr>
            </w:pPr>
            <w:r>
              <w:rPr>
                <w:rFonts w:hint="eastAsia" w:ascii="宋体" w:hAnsi="宋体" w:eastAsia="宋体"/>
                <w:sz w:val="24"/>
                <w:highlight w:val="none"/>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14:paraId="309AAE8B">
            <w:pPr>
              <w:ind w:firstLine="0" w:firstLineChars="0"/>
              <w:jc w:val="center"/>
              <w:rPr>
                <w:rFonts w:hint="eastAsia" w:ascii="宋体" w:hAnsi="宋体" w:eastAsia="宋体"/>
                <w:sz w:val="24"/>
                <w:highlight w:val="none"/>
              </w:rPr>
            </w:pPr>
          </w:p>
        </w:tc>
      </w:tr>
      <w:tr w14:paraId="5EDC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37E6EE8">
            <w:pPr>
              <w:ind w:firstLine="0" w:firstLineChars="0"/>
              <w:jc w:val="center"/>
              <w:rPr>
                <w:rFonts w:hint="eastAsia" w:ascii="宋体" w:hAnsi="宋体" w:eastAsia="宋体"/>
                <w:sz w:val="24"/>
                <w:highlight w:val="none"/>
              </w:rPr>
            </w:pPr>
            <w:r>
              <w:rPr>
                <w:rFonts w:hint="eastAsia" w:ascii="宋体" w:hAnsi="宋体" w:eastAsia="宋体"/>
                <w:sz w:val="24"/>
                <w:highlight w:val="none"/>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14:paraId="0C239029">
            <w:pPr>
              <w:ind w:firstLine="480"/>
              <w:jc w:val="center"/>
              <w:rPr>
                <w:rFonts w:hint="eastAsia" w:ascii="宋体" w:hAnsi="宋体" w:eastAsia="宋体"/>
                <w:sz w:val="24"/>
                <w:highlight w:val="none"/>
              </w:rPr>
            </w:pPr>
            <w:r>
              <w:rPr>
                <w:rFonts w:hint="eastAsia" w:ascii="宋体" w:hAnsi="宋体" w:eastAsia="宋体"/>
                <w:sz w:val="24"/>
                <w:highlight w:val="none"/>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14:paraId="58A9716A">
            <w:pPr>
              <w:ind w:firstLine="480"/>
              <w:jc w:val="center"/>
              <w:rPr>
                <w:rFonts w:hint="eastAsia" w:ascii="宋体" w:hAnsi="宋体" w:eastAsia="宋体"/>
                <w:sz w:val="24"/>
                <w:highlight w:val="none"/>
              </w:rPr>
            </w:pPr>
            <w:r>
              <w:rPr>
                <w:rFonts w:hint="eastAsia" w:ascii="宋体" w:hAnsi="宋体" w:eastAsia="宋体"/>
                <w:sz w:val="24"/>
                <w:highlight w:val="none"/>
              </w:rPr>
              <w:t>年    月    日</w:t>
            </w:r>
          </w:p>
        </w:tc>
      </w:tr>
    </w:tbl>
    <w:p w14:paraId="611EDFC4">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2FC7977F">
      <w:pPr>
        <w:pageBreakBefore/>
        <w:spacing w:line="276" w:lineRule="auto"/>
        <w:ind w:firstLine="0" w:firstLineChars="0"/>
        <w:rPr>
          <w:rFonts w:hint="eastAsia" w:ascii="宋体" w:hAnsi="宋体" w:eastAsia="宋体"/>
          <w:b/>
          <w:sz w:val="21"/>
          <w:szCs w:val="21"/>
          <w:highlight w:val="none"/>
        </w:rPr>
      </w:pPr>
      <w:r>
        <w:rPr>
          <w:rFonts w:hint="eastAsia" w:ascii="宋体" w:hAnsi="宋体" w:eastAsia="宋体"/>
          <w:b/>
          <w:sz w:val="21"/>
          <w:szCs w:val="21"/>
          <w:highlight w:val="none"/>
        </w:rPr>
        <w:t>附件</w:t>
      </w:r>
    </w:p>
    <w:p w14:paraId="39FE01D7">
      <w:pPr>
        <w:spacing w:line="276" w:lineRule="auto"/>
        <w:ind w:firstLine="0" w:firstLineChars="0"/>
        <w:jc w:val="center"/>
        <w:rPr>
          <w:rFonts w:hint="eastAsia" w:ascii="宋体" w:hAnsi="宋体" w:eastAsia="宋体"/>
          <w:b/>
          <w:sz w:val="21"/>
          <w:szCs w:val="21"/>
          <w:highlight w:val="none"/>
        </w:rPr>
      </w:pPr>
      <w:r>
        <w:rPr>
          <w:rFonts w:hint="eastAsia" w:ascii="宋体" w:hAnsi="宋体" w:eastAsia="宋体"/>
          <w:b/>
          <w:sz w:val="21"/>
          <w:szCs w:val="21"/>
          <w:highlight w:val="none"/>
        </w:rPr>
        <w:t>乙方授权业务经办人员联系卡</w:t>
      </w:r>
    </w:p>
    <w:tbl>
      <w:tblPr>
        <w:tblStyle w:val="7"/>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14:paraId="4F29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06" w:type="dxa"/>
            <w:vAlign w:val="center"/>
          </w:tcPr>
          <w:p w14:paraId="3501209C">
            <w:pPr>
              <w:widowControl/>
              <w:spacing w:line="276" w:lineRule="auto"/>
              <w:ind w:left="-284" w:leftChars="-245" w:hanging="451" w:hangingChars="215"/>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职务</w:t>
            </w:r>
          </w:p>
        </w:tc>
        <w:tc>
          <w:tcPr>
            <w:tcW w:w="1218" w:type="dxa"/>
            <w:vAlign w:val="center"/>
          </w:tcPr>
          <w:p w14:paraId="48F94647">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姓名</w:t>
            </w:r>
          </w:p>
        </w:tc>
        <w:tc>
          <w:tcPr>
            <w:tcW w:w="1654" w:type="dxa"/>
            <w:vAlign w:val="center"/>
          </w:tcPr>
          <w:p w14:paraId="680363F9">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电话</w:t>
            </w:r>
          </w:p>
        </w:tc>
        <w:tc>
          <w:tcPr>
            <w:tcW w:w="1701" w:type="dxa"/>
            <w:vAlign w:val="center"/>
          </w:tcPr>
          <w:p w14:paraId="207B750B">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邮箱地址</w:t>
            </w:r>
          </w:p>
        </w:tc>
        <w:tc>
          <w:tcPr>
            <w:tcW w:w="2788" w:type="dxa"/>
            <w:vAlign w:val="center"/>
          </w:tcPr>
          <w:p w14:paraId="11B543D3">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身份证号码</w:t>
            </w:r>
          </w:p>
        </w:tc>
        <w:tc>
          <w:tcPr>
            <w:tcW w:w="1612" w:type="dxa"/>
            <w:vAlign w:val="center"/>
          </w:tcPr>
          <w:p w14:paraId="6E49AB64">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签名并按手印</w:t>
            </w:r>
          </w:p>
        </w:tc>
      </w:tr>
      <w:tr w14:paraId="7B6A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3603786">
            <w:pPr>
              <w:widowControl/>
              <w:spacing w:line="276" w:lineRule="auto"/>
              <w:ind w:firstLine="0" w:firstLineChars="0"/>
              <w:jc w:val="center"/>
              <w:rPr>
                <w:rFonts w:hint="eastAsia" w:ascii="宋体" w:hAnsi="宋体" w:eastAsia="宋体"/>
                <w:kern w:val="0"/>
                <w:sz w:val="21"/>
                <w:szCs w:val="21"/>
                <w:highlight w:val="none"/>
                <w:lang w:val="en-US" w:eastAsia="zh-CN"/>
              </w:rPr>
            </w:pPr>
            <w:r>
              <w:rPr>
                <w:rFonts w:hint="eastAsia" w:ascii="宋体" w:hAnsi="宋体" w:eastAsia="宋体"/>
                <w:kern w:val="0"/>
                <w:sz w:val="21"/>
                <w:szCs w:val="21"/>
                <w:highlight w:val="none"/>
                <w:lang w:val="en-US" w:eastAsia="zh-CN"/>
              </w:rPr>
              <w:t>往来</w:t>
            </w:r>
            <w:r>
              <w:rPr>
                <w:rFonts w:hint="eastAsia" w:ascii="宋体" w:hAnsi="宋体" w:eastAsia="宋体"/>
                <w:kern w:val="0"/>
                <w:sz w:val="21"/>
                <w:szCs w:val="21"/>
                <w:highlight w:val="none"/>
              </w:rPr>
              <w:t>函</w:t>
            </w:r>
            <w:r>
              <w:rPr>
                <w:rFonts w:hint="eastAsia" w:ascii="宋体" w:hAnsi="宋体" w:eastAsia="宋体"/>
                <w:kern w:val="0"/>
                <w:sz w:val="21"/>
                <w:szCs w:val="21"/>
                <w:highlight w:val="none"/>
                <w:lang w:val="en-US" w:eastAsia="zh-CN"/>
              </w:rPr>
              <w:t>件</w:t>
            </w:r>
          </w:p>
          <w:p w14:paraId="18C0A8AD">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接收/签认人</w:t>
            </w:r>
          </w:p>
        </w:tc>
        <w:tc>
          <w:tcPr>
            <w:tcW w:w="1218" w:type="dxa"/>
            <w:vAlign w:val="center"/>
          </w:tcPr>
          <w:p w14:paraId="262E7C7E">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626621F8">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434C33CA">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71D4750A">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5C525251">
            <w:pPr>
              <w:widowControl/>
              <w:spacing w:line="276" w:lineRule="auto"/>
              <w:ind w:firstLine="0" w:firstLineChars="0"/>
              <w:jc w:val="center"/>
              <w:rPr>
                <w:rFonts w:hint="eastAsia" w:ascii="宋体" w:hAnsi="宋体" w:eastAsia="宋体"/>
                <w:kern w:val="0"/>
                <w:sz w:val="21"/>
                <w:szCs w:val="21"/>
                <w:highlight w:val="none"/>
              </w:rPr>
            </w:pPr>
          </w:p>
        </w:tc>
      </w:tr>
      <w:tr w14:paraId="3166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CF22F7E">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合同及补充协议授权签订人</w:t>
            </w:r>
          </w:p>
        </w:tc>
        <w:tc>
          <w:tcPr>
            <w:tcW w:w="1218" w:type="dxa"/>
            <w:vAlign w:val="center"/>
          </w:tcPr>
          <w:p w14:paraId="4D02572D">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31FE9867">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7CC14050">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0EF8AEE0">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4C4A4C2D">
            <w:pPr>
              <w:widowControl/>
              <w:spacing w:line="276" w:lineRule="auto"/>
              <w:ind w:firstLine="0" w:firstLineChars="0"/>
              <w:jc w:val="center"/>
              <w:rPr>
                <w:rFonts w:hint="eastAsia" w:ascii="宋体" w:hAnsi="宋体" w:eastAsia="宋体"/>
                <w:kern w:val="0"/>
                <w:sz w:val="21"/>
                <w:szCs w:val="21"/>
                <w:highlight w:val="none"/>
              </w:rPr>
            </w:pPr>
          </w:p>
        </w:tc>
      </w:tr>
      <w:tr w14:paraId="450C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C92B874">
            <w:pPr>
              <w:widowControl/>
              <w:spacing w:line="276" w:lineRule="auto"/>
              <w:ind w:firstLine="0" w:firstLineChars="0"/>
              <w:jc w:val="center"/>
              <w:rPr>
                <w:rFonts w:hint="eastAsia" w:ascii="宋体" w:hAnsi="宋体" w:eastAsia="宋体"/>
                <w:kern w:val="0"/>
                <w:sz w:val="21"/>
                <w:szCs w:val="21"/>
                <w:highlight w:val="none"/>
              </w:rPr>
            </w:pPr>
          </w:p>
        </w:tc>
        <w:tc>
          <w:tcPr>
            <w:tcW w:w="1218" w:type="dxa"/>
            <w:vAlign w:val="center"/>
          </w:tcPr>
          <w:p w14:paraId="5D71D90F">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4CAFA8A5">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42E287B0">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6A670512">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56F1598A">
            <w:pPr>
              <w:widowControl/>
              <w:spacing w:line="276" w:lineRule="auto"/>
              <w:ind w:firstLine="0" w:firstLineChars="0"/>
              <w:jc w:val="center"/>
              <w:rPr>
                <w:rFonts w:hint="eastAsia" w:ascii="宋体" w:hAnsi="宋体" w:eastAsia="宋体"/>
                <w:kern w:val="0"/>
                <w:sz w:val="21"/>
                <w:szCs w:val="21"/>
                <w:highlight w:val="none"/>
              </w:rPr>
            </w:pPr>
          </w:p>
        </w:tc>
      </w:tr>
      <w:tr w14:paraId="208A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7862BC64">
            <w:pPr>
              <w:widowControl/>
              <w:spacing w:line="276" w:lineRule="auto"/>
              <w:ind w:firstLine="0" w:firstLineChars="0"/>
              <w:jc w:val="center"/>
              <w:rPr>
                <w:rFonts w:hint="eastAsia" w:ascii="宋体" w:hAnsi="宋体" w:eastAsia="宋体"/>
                <w:kern w:val="0"/>
                <w:sz w:val="21"/>
                <w:szCs w:val="21"/>
                <w:highlight w:val="none"/>
              </w:rPr>
            </w:pPr>
          </w:p>
        </w:tc>
        <w:tc>
          <w:tcPr>
            <w:tcW w:w="1218" w:type="dxa"/>
            <w:vAlign w:val="center"/>
          </w:tcPr>
          <w:p w14:paraId="5A777BB4">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03D821BA">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1949761C">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6C195676">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5880EF50">
            <w:pPr>
              <w:widowControl/>
              <w:spacing w:line="276" w:lineRule="auto"/>
              <w:ind w:firstLine="0" w:firstLineChars="0"/>
              <w:jc w:val="center"/>
              <w:rPr>
                <w:rFonts w:hint="eastAsia" w:ascii="宋体" w:hAnsi="宋体" w:eastAsia="宋体"/>
                <w:kern w:val="0"/>
                <w:sz w:val="21"/>
                <w:szCs w:val="21"/>
                <w:highlight w:val="none"/>
              </w:rPr>
            </w:pPr>
          </w:p>
        </w:tc>
      </w:tr>
      <w:tr w14:paraId="29AC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06" w:type="dxa"/>
            <w:vAlign w:val="center"/>
          </w:tcPr>
          <w:p w14:paraId="75B3F6B7">
            <w:pPr>
              <w:widowControl/>
              <w:spacing w:line="276" w:lineRule="auto"/>
              <w:ind w:firstLine="0" w:firstLineChars="0"/>
              <w:jc w:val="center"/>
              <w:rPr>
                <w:rFonts w:hint="eastAsia" w:ascii="宋体" w:hAnsi="宋体" w:eastAsia="宋体"/>
                <w:kern w:val="0"/>
                <w:sz w:val="21"/>
                <w:szCs w:val="21"/>
                <w:highlight w:val="none"/>
              </w:rPr>
            </w:pPr>
          </w:p>
        </w:tc>
        <w:tc>
          <w:tcPr>
            <w:tcW w:w="1218" w:type="dxa"/>
            <w:vAlign w:val="center"/>
          </w:tcPr>
          <w:p w14:paraId="781AF5C5">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52F8DF7E">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0B266B17">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37D7E01A">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34F4BDC9">
            <w:pPr>
              <w:widowControl/>
              <w:spacing w:line="276" w:lineRule="auto"/>
              <w:ind w:firstLine="0" w:firstLineChars="0"/>
              <w:jc w:val="center"/>
              <w:rPr>
                <w:rFonts w:hint="eastAsia" w:ascii="宋体" w:hAnsi="宋体" w:eastAsia="宋体"/>
                <w:kern w:val="0"/>
                <w:sz w:val="21"/>
                <w:szCs w:val="21"/>
                <w:highlight w:val="none"/>
              </w:rPr>
            </w:pPr>
          </w:p>
        </w:tc>
      </w:tr>
    </w:tbl>
    <w:p w14:paraId="3CB74647">
      <w:pPr>
        <w:spacing w:line="276" w:lineRule="auto"/>
        <w:ind w:firstLine="0" w:firstLineChars="0"/>
        <w:rPr>
          <w:rFonts w:hint="eastAsia" w:ascii="宋体" w:hAnsi="宋体" w:eastAsia="宋体"/>
          <w:sz w:val="21"/>
          <w:szCs w:val="21"/>
          <w:highlight w:val="none"/>
        </w:rPr>
      </w:pPr>
    </w:p>
    <w:p w14:paraId="51F7C805">
      <w:pPr>
        <w:spacing w:line="276" w:lineRule="auto"/>
        <w:ind w:firstLine="0" w:firstLineChars="0"/>
        <w:jc w:val="center"/>
        <w:rPr>
          <w:rFonts w:hint="eastAsia" w:ascii="宋体" w:hAnsi="宋体" w:eastAsia="宋体"/>
          <w:sz w:val="21"/>
          <w:szCs w:val="21"/>
          <w:highlight w:val="none"/>
        </w:rPr>
      </w:pPr>
      <w:r>
        <w:rPr>
          <w:rFonts w:ascii="宋体" w:hAnsi="宋体" w:eastAsia="宋体"/>
          <w:sz w:val="21"/>
          <w:szCs w:val="21"/>
          <w:highlight w:val="none"/>
        </w:rPr>
        <w:t xml:space="preserve">                                             </w:t>
      </w:r>
    </w:p>
    <w:p w14:paraId="43F14B20">
      <w:pPr>
        <w:spacing w:line="276" w:lineRule="auto"/>
        <w:ind w:firstLine="0" w:firstLineChars="0"/>
        <w:jc w:val="center"/>
        <w:rPr>
          <w:rFonts w:hint="eastAsia" w:ascii="宋体" w:hAnsi="宋体" w:eastAsia="宋体"/>
          <w:sz w:val="21"/>
          <w:szCs w:val="21"/>
          <w:highlight w:val="none"/>
          <w:u w:val="single"/>
        </w:rPr>
      </w:pPr>
      <w:r>
        <w:rPr>
          <w:rFonts w:ascii="宋体" w:hAnsi="宋体" w:eastAsia="宋体"/>
          <w:sz w:val="21"/>
          <w:szCs w:val="21"/>
          <w:highlight w:val="none"/>
        </w:rPr>
        <w:t xml:space="preserve">      </w:t>
      </w: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r>
        <w:rPr>
          <w:rFonts w:hint="eastAsia" w:ascii="宋体" w:hAnsi="宋体" w:eastAsia="宋体"/>
          <w:sz w:val="21"/>
          <w:szCs w:val="21"/>
          <w:highlight w:val="none"/>
        </w:rPr>
        <w:t xml:space="preserve"> 乙方：（加盖公章） </w:t>
      </w:r>
    </w:p>
    <w:p w14:paraId="71F8181D">
      <w:pPr>
        <w:spacing w:line="276" w:lineRule="auto"/>
        <w:ind w:firstLine="0" w:firstLineChars="0"/>
        <w:jc w:val="right"/>
        <w:rPr>
          <w:rFonts w:hint="eastAsia" w:ascii="宋体" w:hAnsi="宋体" w:eastAsia="宋体"/>
          <w:sz w:val="21"/>
          <w:szCs w:val="21"/>
          <w:highlight w:val="none"/>
        </w:rPr>
      </w:pPr>
    </w:p>
    <w:p w14:paraId="5345D321">
      <w:pPr>
        <w:spacing w:line="276" w:lineRule="auto"/>
        <w:ind w:right="210" w:firstLine="0" w:firstLineChars="0"/>
        <w:jc w:val="right"/>
        <w:rPr>
          <w:rFonts w:hint="eastAsia" w:ascii="宋体" w:hAnsi="宋体" w:eastAsia="宋体"/>
          <w:sz w:val="21"/>
          <w:szCs w:val="21"/>
          <w:highlight w:val="none"/>
        </w:rPr>
      </w:pPr>
      <w:r>
        <w:rPr>
          <w:rFonts w:hint="eastAsia" w:ascii="宋体" w:hAnsi="宋体" w:eastAsia="宋体"/>
          <w:sz w:val="21"/>
          <w:szCs w:val="21"/>
          <w:highlight w:val="none"/>
        </w:rPr>
        <w:t>授权期限：20</w:t>
      </w:r>
      <w:r>
        <w:rPr>
          <w:rFonts w:ascii="宋体" w:hAnsi="宋体" w:eastAsia="宋体"/>
          <w:sz w:val="21"/>
          <w:szCs w:val="21"/>
          <w:highlight w:val="none"/>
          <w:u w:val="single"/>
        </w:rPr>
        <w:t xml:space="preserve">  </w:t>
      </w:r>
      <w:r>
        <w:rPr>
          <w:rFonts w:hint="eastAsia" w:ascii="宋体" w:hAnsi="宋体" w:eastAsia="宋体"/>
          <w:sz w:val="21"/>
          <w:szCs w:val="21"/>
          <w:highlight w:val="none"/>
        </w:rPr>
        <w:t>年</w:t>
      </w:r>
      <w:r>
        <w:rPr>
          <w:rFonts w:ascii="宋体" w:hAnsi="宋体" w:eastAsia="宋体"/>
          <w:sz w:val="21"/>
          <w:szCs w:val="21"/>
          <w:highlight w:val="none"/>
          <w:u w:val="single"/>
        </w:rPr>
        <w:t xml:space="preserve">  </w:t>
      </w:r>
      <w:r>
        <w:rPr>
          <w:rFonts w:hint="eastAsia" w:ascii="宋体" w:hAnsi="宋体" w:eastAsia="宋体"/>
          <w:sz w:val="21"/>
          <w:szCs w:val="21"/>
          <w:highlight w:val="none"/>
        </w:rPr>
        <w:t>月</w:t>
      </w:r>
      <w:r>
        <w:rPr>
          <w:rFonts w:ascii="宋体" w:hAnsi="宋体" w:eastAsia="宋体"/>
          <w:sz w:val="21"/>
          <w:szCs w:val="21"/>
          <w:highlight w:val="none"/>
          <w:u w:val="single"/>
        </w:rPr>
        <w:t xml:space="preserve">  </w:t>
      </w:r>
      <w:r>
        <w:rPr>
          <w:rFonts w:hint="eastAsia" w:ascii="宋体" w:hAnsi="宋体" w:eastAsia="宋体"/>
          <w:sz w:val="21"/>
          <w:szCs w:val="21"/>
          <w:highlight w:val="none"/>
        </w:rPr>
        <w:t>日至20</w:t>
      </w:r>
      <w:r>
        <w:rPr>
          <w:rFonts w:ascii="宋体" w:hAnsi="宋体" w:eastAsia="宋体"/>
          <w:sz w:val="21"/>
          <w:szCs w:val="21"/>
          <w:highlight w:val="none"/>
          <w:u w:val="single"/>
        </w:rPr>
        <w:t xml:space="preserve">  </w:t>
      </w:r>
      <w:r>
        <w:rPr>
          <w:rFonts w:hint="eastAsia" w:ascii="宋体" w:hAnsi="宋体" w:eastAsia="宋体"/>
          <w:sz w:val="21"/>
          <w:szCs w:val="21"/>
          <w:highlight w:val="none"/>
        </w:rPr>
        <w:t>年</w:t>
      </w:r>
      <w:r>
        <w:rPr>
          <w:rFonts w:ascii="宋体" w:hAnsi="宋体" w:eastAsia="宋体"/>
          <w:sz w:val="21"/>
          <w:szCs w:val="21"/>
          <w:highlight w:val="none"/>
          <w:u w:val="single"/>
        </w:rPr>
        <w:t xml:space="preserve">  </w:t>
      </w:r>
      <w:r>
        <w:rPr>
          <w:rFonts w:hint="eastAsia" w:ascii="宋体" w:hAnsi="宋体" w:eastAsia="宋体"/>
          <w:sz w:val="21"/>
          <w:szCs w:val="21"/>
          <w:highlight w:val="none"/>
        </w:rPr>
        <w:t>月</w:t>
      </w:r>
      <w:r>
        <w:rPr>
          <w:rFonts w:ascii="宋体" w:hAnsi="宋体" w:eastAsia="宋体"/>
          <w:sz w:val="21"/>
          <w:szCs w:val="21"/>
          <w:highlight w:val="none"/>
          <w:u w:val="single"/>
        </w:rPr>
        <w:t xml:space="preserve">  </w:t>
      </w:r>
      <w:r>
        <w:rPr>
          <w:rFonts w:hint="eastAsia" w:ascii="宋体" w:hAnsi="宋体" w:eastAsia="宋体"/>
          <w:sz w:val="21"/>
          <w:szCs w:val="21"/>
          <w:highlight w:val="none"/>
        </w:rPr>
        <w:t>日</w:t>
      </w:r>
    </w:p>
    <w:p w14:paraId="5AE1F886">
      <w:pPr>
        <w:rPr>
          <w:rFonts w:hint="eastAsia"/>
        </w:rPr>
      </w:pPr>
      <w:r>
        <w:rPr>
          <w:rFonts w:hint="eastAsia"/>
        </w:rPr>
        <w:br w:type="page"/>
      </w:r>
    </w:p>
    <w:p w14:paraId="3697F26E">
      <w:pPr>
        <w:tabs>
          <w:tab w:val="left" w:pos="7014"/>
        </w:tabs>
        <w:spacing w:line="480" w:lineRule="auto"/>
        <w:ind w:firstLine="0" w:firstLineChars="0"/>
        <w:jc w:val="center"/>
        <w:rPr>
          <w:rFonts w:hint="eastAsia" w:ascii="黑体" w:hAnsi="黑体" w:eastAsia="黑体" w:cs="Times New Roman"/>
          <w:b/>
          <w:sz w:val="36"/>
          <w:szCs w:val="36"/>
          <w:lang w:eastAsia="zh-CN"/>
        </w:rPr>
      </w:pPr>
      <w:r>
        <w:rPr>
          <w:rFonts w:hint="eastAsia" w:ascii="黑体" w:hAnsi="黑体" w:eastAsia="黑体" w:cs="Times New Roman"/>
          <w:b/>
          <w:sz w:val="36"/>
          <w:szCs w:val="36"/>
        </w:rPr>
        <w:t>安 全 协 议</w:t>
      </w:r>
      <w:r>
        <w:rPr>
          <w:rFonts w:hint="eastAsia" w:ascii="黑体" w:hAnsi="黑体" w:eastAsia="黑体" w:cs="Times New Roman"/>
          <w:b/>
          <w:sz w:val="36"/>
          <w:szCs w:val="36"/>
          <w:lang w:eastAsia="zh-CN"/>
        </w:rPr>
        <w:t>（</w:t>
      </w:r>
      <w:r>
        <w:rPr>
          <w:rFonts w:hint="eastAsia" w:ascii="黑体" w:hAnsi="黑体" w:eastAsia="黑体" w:cs="Times New Roman"/>
          <w:b/>
          <w:sz w:val="36"/>
          <w:szCs w:val="36"/>
          <w:lang w:val="en-US" w:eastAsia="zh-CN"/>
        </w:rPr>
        <w:t>运输类</w:t>
      </w:r>
      <w:r>
        <w:rPr>
          <w:rFonts w:hint="eastAsia" w:ascii="黑体" w:hAnsi="黑体" w:eastAsia="黑体" w:cs="Times New Roman"/>
          <w:b/>
          <w:sz w:val="36"/>
          <w:szCs w:val="36"/>
          <w:lang w:eastAsia="zh-CN"/>
        </w:rPr>
        <w:t>）</w:t>
      </w:r>
    </w:p>
    <w:p w14:paraId="4323E289">
      <w:pPr>
        <w:tabs>
          <w:tab w:val="left" w:pos="7014"/>
        </w:tabs>
        <w:spacing w:line="480" w:lineRule="auto"/>
        <w:ind w:firstLine="0" w:firstLineChars="0"/>
        <w:jc w:val="center"/>
        <w:rPr>
          <w:rFonts w:ascii="黑体" w:hAnsi="黑体" w:eastAsia="黑体" w:cs="Times New Roman"/>
          <w:b/>
          <w:sz w:val="36"/>
          <w:szCs w:val="36"/>
          <w:u w:val="single"/>
        </w:rPr>
      </w:pPr>
    </w:p>
    <w:p w14:paraId="32D41AF8">
      <w:pPr>
        <w:spacing w:line="480" w:lineRule="auto"/>
        <w:ind w:firstLine="0" w:firstLineChars="0"/>
        <w:jc w:val="left"/>
        <w:rPr>
          <w:rFonts w:ascii="仿宋" w:hAnsi="仿宋" w:eastAsia="仿宋" w:cs="Times New Roman"/>
          <w:sz w:val="28"/>
          <w:szCs w:val="28"/>
        </w:rPr>
      </w:pPr>
      <w:r>
        <w:rPr>
          <w:rFonts w:hint="eastAsia" w:ascii="仿宋" w:hAnsi="仿宋" w:eastAsia="仿宋" w:cs="Times New Roman"/>
          <w:sz w:val="28"/>
          <w:szCs w:val="28"/>
          <w:lang w:val="en-US" w:eastAsia="zh-CN"/>
        </w:rPr>
        <w:t>甲方</w:t>
      </w:r>
      <w:r>
        <w:rPr>
          <w:rFonts w:hint="eastAsia" w:ascii="仿宋" w:hAnsi="仿宋" w:eastAsia="仿宋" w:cs="Times New Roman"/>
          <w:sz w:val="28"/>
          <w:szCs w:val="28"/>
        </w:rPr>
        <w:t>：</w:t>
      </w:r>
      <w:r>
        <w:rPr>
          <w:rFonts w:hint="eastAsia" w:ascii="仿宋" w:hAnsi="仿宋" w:eastAsia="仿宋" w:cs="Times New Roman"/>
          <w:sz w:val="28"/>
          <w:szCs w:val="28"/>
          <w:u w:val="single"/>
        </w:rPr>
        <w:t>海垦润丰（屯昌）新型环保建材有限公司</w:t>
      </w:r>
      <w:r>
        <w:rPr>
          <w:rFonts w:hint="eastAsia" w:ascii="仿宋" w:hAnsi="仿宋" w:eastAsia="仿宋" w:cs="Times New Roman"/>
          <w:sz w:val="28"/>
          <w:szCs w:val="28"/>
        </w:rPr>
        <w:t>（以下简称甲方）</w:t>
      </w:r>
    </w:p>
    <w:p w14:paraId="79C6DD33">
      <w:pPr>
        <w:spacing w:line="360" w:lineRule="auto"/>
        <w:ind w:hanging="27" w:firstLineChars="0"/>
        <w:jc w:val="left"/>
        <w:rPr>
          <w:rFonts w:ascii="仿宋" w:hAnsi="仿宋" w:eastAsia="仿宋" w:cs="Times New Roman"/>
          <w:sz w:val="28"/>
          <w:szCs w:val="28"/>
          <w:u w:val="single"/>
        </w:rPr>
      </w:pPr>
      <w:r>
        <w:rPr>
          <w:rFonts w:hint="eastAsia" w:ascii="仿宋" w:hAnsi="仿宋" w:eastAsia="仿宋" w:cs="Times New Roman"/>
          <w:sz w:val="28"/>
          <w:szCs w:val="28"/>
          <w:lang w:val="en-US" w:eastAsia="zh-CN"/>
        </w:rPr>
        <w:t>乙方</w:t>
      </w:r>
      <w:r>
        <w:rPr>
          <w:rFonts w:hint="eastAsia" w:ascii="仿宋" w:hAnsi="仿宋" w:eastAsia="仿宋" w:cs="Times New Roman"/>
          <w:sz w:val="28"/>
          <w:szCs w:val="28"/>
        </w:rPr>
        <w:t>：</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（以下简称乙方）</w:t>
      </w:r>
    </w:p>
    <w:p w14:paraId="28E330D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根据双方签订的《</w:t>
      </w:r>
      <w:r>
        <w:rPr>
          <w:rFonts w:hint="eastAsia" w:ascii="仿宋" w:hAnsi="仿宋" w:eastAsia="仿宋" w:cs="Times New Roman"/>
          <w:sz w:val="28"/>
          <w:szCs w:val="28"/>
          <w:u w:val="single"/>
          <w:lang w:val="en-US" w:eastAsia="zh-CN"/>
        </w:rPr>
        <w:t>毛石购销合同</w:t>
      </w:r>
      <w:r>
        <w:rPr>
          <w:rFonts w:hint="eastAsia" w:ascii="仿宋" w:hAnsi="仿宋" w:eastAsia="仿宋" w:cs="Times New Roman"/>
          <w:sz w:val="28"/>
          <w:szCs w:val="28"/>
          <w:u w:val="none"/>
          <w:lang w:val="en-US" w:eastAsia="zh-CN"/>
        </w:rPr>
        <w:t>》，</w:t>
      </w:r>
      <w:r>
        <w:rPr>
          <w:rFonts w:hint="eastAsia" w:ascii="仿宋" w:hAnsi="仿宋" w:eastAsia="仿宋" w:cs="Times New Roman"/>
          <w:sz w:val="28"/>
          <w:szCs w:val="28"/>
        </w:rPr>
        <w:t>为明确双方的安全责任，确保乙方在</w:t>
      </w:r>
      <w:r>
        <w:rPr>
          <w:rFonts w:hint="eastAsia" w:ascii="仿宋" w:hAnsi="仿宋" w:eastAsia="仿宋" w:cs="Times New Roman"/>
          <w:color w:val="000000"/>
          <w:sz w:val="28"/>
          <w:szCs w:val="28"/>
        </w:rPr>
        <w:t>合同履约期间</w:t>
      </w:r>
      <w:r>
        <w:rPr>
          <w:rFonts w:hint="eastAsia" w:ascii="仿宋" w:hAnsi="仿宋" w:eastAsia="仿宋" w:cs="Times New Roman"/>
          <w:sz w:val="28"/>
          <w:szCs w:val="28"/>
        </w:rPr>
        <w:t>的安全，根据国家有关法律法规和</w:t>
      </w:r>
      <w:r>
        <w:rPr>
          <w:rFonts w:hint="eastAsia" w:ascii="仿宋" w:hAnsi="仿宋" w:eastAsia="仿宋" w:cs="Times New Roman"/>
          <w:sz w:val="28"/>
          <w:szCs w:val="28"/>
          <w:lang w:val="en-US" w:eastAsia="zh-CN"/>
        </w:rPr>
        <w:t>海垦润丰（屯昌）新型环保建材有限公司</w:t>
      </w:r>
      <w:r>
        <w:rPr>
          <w:rFonts w:hint="eastAsia" w:ascii="仿宋" w:hAnsi="仿宋" w:eastAsia="仿宋" w:cs="Times New Roman"/>
          <w:sz w:val="28"/>
          <w:szCs w:val="28"/>
        </w:rPr>
        <w:t>的安全要求，双方协商一致并自愿签订本协议。</w:t>
      </w:r>
    </w:p>
    <w:p w14:paraId="332D1DD4">
      <w:pPr>
        <w:spacing w:line="360" w:lineRule="auto"/>
        <w:ind w:firstLine="551" w:firstLineChars="196"/>
        <w:jc w:val="left"/>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rPr>
        <w:t xml:space="preserve">一 </w:t>
      </w:r>
      <w:r>
        <w:rPr>
          <w:rFonts w:hint="eastAsia" w:ascii="仿宋" w:hAnsi="仿宋" w:eastAsia="仿宋" w:cs="Times New Roman"/>
          <w:b/>
          <w:bCs/>
          <w:sz w:val="28"/>
          <w:szCs w:val="28"/>
          <w:lang w:val="en-US" w:eastAsia="zh-CN"/>
        </w:rPr>
        <w:t>基本信息</w:t>
      </w:r>
    </w:p>
    <w:p w14:paraId="61786D74">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(一) 名称：</w:t>
      </w:r>
      <w:r>
        <w:rPr>
          <w:rFonts w:hint="eastAsia" w:ascii="仿宋" w:hAnsi="仿宋" w:eastAsia="仿宋" w:cs="Times New Roman"/>
          <w:sz w:val="28"/>
          <w:szCs w:val="28"/>
          <w:lang w:val="en-US" w:eastAsia="zh-CN"/>
        </w:rPr>
        <w:t>毛石</w:t>
      </w:r>
      <w:r>
        <w:rPr>
          <w:rFonts w:hint="eastAsia" w:ascii="仿宋" w:hAnsi="仿宋" w:eastAsia="仿宋" w:cs="Times New Roman"/>
          <w:sz w:val="28"/>
          <w:szCs w:val="28"/>
        </w:rPr>
        <w:t xml:space="preserve">购销合同                                   </w:t>
      </w:r>
    </w:p>
    <w:p w14:paraId="560F2B54">
      <w:pPr>
        <w:spacing w:line="460" w:lineRule="atLeas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(二) 地址及范围：屯昌县中建农场大月岭矿区东矿段建筑用花岗岩矿</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 xml:space="preserve">。                                                                      </w:t>
      </w:r>
    </w:p>
    <w:p w14:paraId="2DD966D0">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(三) 本协议期限：与主合同期限一致。        </w:t>
      </w:r>
    </w:p>
    <w:p w14:paraId="0A15638B">
      <w:pPr>
        <w:spacing w:line="360" w:lineRule="auto"/>
        <w:ind w:firstLine="551" w:firstLineChars="196"/>
        <w:jc w:val="left"/>
        <w:rPr>
          <w:rFonts w:ascii="仿宋" w:hAnsi="仿宋" w:eastAsia="仿宋" w:cs="Times New Roman"/>
          <w:b/>
          <w:bCs/>
          <w:sz w:val="28"/>
          <w:szCs w:val="28"/>
        </w:rPr>
      </w:pPr>
      <w:r>
        <w:rPr>
          <w:rFonts w:hint="eastAsia" w:ascii="仿宋" w:hAnsi="仿宋" w:eastAsia="仿宋" w:cs="Times New Roman"/>
          <w:b/>
          <w:bCs/>
          <w:sz w:val="28"/>
          <w:szCs w:val="28"/>
        </w:rPr>
        <w:t>二 安全责任</w:t>
      </w:r>
    </w:p>
    <w:p w14:paraId="0856D750">
      <w:pPr>
        <w:spacing w:line="360" w:lineRule="auto"/>
        <w:ind w:firstLine="560" w:firstLineChars="200"/>
        <w:jc w:val="left"/>
        <w:rPr>
          <w:rFonts w:ascii="仿宋" w:hAnsi="仿宋" w:eastAsia="仿宋" w:cs="Times New Roman"/>
          <w:bCs/>
          <w:sz w:val="28"/>
          <w:szCs w:val="28"/>
        </w:rPr>
      </w:pPr>
      <w:r>
        <w:rPr>
          <w:rFonts w:hint="eastAsia" w:ascii="仿宋" w:hAnsi="仿宋" w:eastAsia="仿宋" w:cs="Times New Roman"/>
          <w:sz w:val="28"/>
          <w:szCs w:val="28"/>
        </w:rPr>
        <w:t>(一) 安全责任人</w:t>
      </w:r>
    </w:p>
    <w:p w14:paraId="5112A7DA">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2.1 甲方安全负责人：                              </w:t>
      </w:r>
    </w:p>
    <w:p w14:paraId="4BDE498A">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指派的现场安全责任人：               </w:t>
      </w:r>
    </w:p>
    <w:p w14:paraId="54D78278">
      <w:pPr>
        <w:spacing w:line="360" w:lineRule="auto"/>
        <w:ind w:left="0" w:leftChars="0"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 xml:space="preserve">2.2 乙方安全负责人 ：                                  </w:t>
      </w:r>
    </w:p>
    <w:p w14:paraId="0B042DA7">
      <w:pPr>
        <w:spacing w:line="360" w:lineRule="auto"/>
        <w:jc w:val="left"/>
        <w:rPr>
          <w:rFonts w:ascii="仿宋" w:hAnsi="仿宋" w:eastAsia="仿宋" w:cs="Times New Roman"/>
          <w:sz w:val="28"/>
          <w:szCs w:val="28"/>
        </w:rPr>
      </w:pPr>
      <w:r>
        <w:rPr>
          <w:rFonts w:hint="eastAsia" w:ascii="仿宋" w:hAnsi="仿宋" w:eastAsia="仿宋" w:cs="Times New Roman"/>
          <w:sz w:val="28"/>
          <w:szCs w:val="28"/>
        </w:rPr>
        <w:t xml:space="preserve">指派的现场安全责任人：                </w:t>
      </w:r>
    </w:p>
    <w:p w14:paraId="6CD01AB3">
      <w:pPr>
        <w:spacing w:line="360" w:lineRule="auto"/>
        <w:jc w:val="left"/>
        <w:rPr>
          <w:rFonts w:ascii="仿宋" w:hAnsi="仿宋" w:eastAsia="仿宋" w:cs="Times New Roman"/>
          <w:sz w:val="28"/>
          <w:szCs w:val="28"/>
        </w:rPr>
      </w:pPr>
      <w:r>
        <w:rPr>
          <w:rFonts w:hint="eastAsia" w:ascii="仿宋" w:hAnsi="仿宋" w:eastAsia="仿宋" w:cs="Times New Roman"/>
          <w:sz w:val="28"/>
          <w:szCs w:val="28"/>
        </w:rPr>
        <w:t>(二) 甲方安全责任</w:t>
      </w:r>
    </w:p>
    <w:p w14:paraId="07E9BBD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2.3 甲方有权对乙方安全资质、工伤保险或意外伤害险购买情况等进行审核。</w:t>
      </w:r>
    </w:p>
    <w:p w14:paraId="38E3E867">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2.4 甲方应向乙方提供作业过程中的便利，协助乙方做好安全生产，向乙方介绍现场的状况、注意事项。</w:t>
      </w:r>
    </w:p>
    <w:p w14:paraId="2E595948">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2.5 甲方安全管理部门对所有的</w:t>
      </w:r>
      <w:r>
        <w:rPr>
          <w:rFonts w:hint="eastAsia" w:ascii="仿宋" w:hAnsi="仿宋" w:eastAsia="仿宋" w:cs="Times New Roman"/>
          <w:color w:val="000000"/>
          <w:sz w:val="28"/>
          <w:szCs w:val="28"/>
        </w:rPr>
        <w:t>运输业务</w:t>
      </w:r>
      <w:r>
        <w:rPr>
          <w:rFonts w:hint="eastAsia" w:ascii="仿宋" w:hAnsi="仿宋" w:eastAsia="仿宋" w:cs="Times New Roman"/>
          <w:sz w:val="28"/>
          <w:szCs w:val="28"/>
        </w:rPr>
        <w:t>从业人员（包括临时雇用的民工）进行统一的安全培训。</w:t>
      </w:r>
    </w:p>
    <w:p w14:paraId="30ACAB9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2.6 甲方有权提出有关安全生产、环境保护工作方面规定，并有权对乙方的</w:t>
      </w:r>
      <w:r>
        <w:rPr>
          <w:rFonts w:hint="eastAsia" w:ascii="仿宋" w:hAnsi="仿宋" w:eastAsia="仿宋" w:cs="Times New Roman"/>
          <w:color w:val="000000"/>
          <w:sz w:val="28"/>
          <w:szCs w:val="28"/>
        </w:rPr>
        <w:t>运输业务过程</w:t>
      </w:r>
      <w:r>
        <w:rPr>
          <w:rFonts w:hint="eastAsia" w:ascii="仿宋" w:hAnsi="仿宋" w:eastAsia="仿宋" w:cs="Times New Roman"/>
          <w:sz w:val="28"/>
          <w:szCs w:val="28"/>
        </w:rPr>
        <w:t>进行监督管理，发现不符合安全文明行为进行制止、纠正，并下发隐患整改通知书、处罚通知书给乙方，情节严重的停工整顿或终止合同清退出场。</w:t>
      </w:r>
    </w:p>
    <w:p w14:paraId="273A6710">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(三) 乙方安全责任</w:t>
      </w:r>
    </w:p>
    <w:p w14:paraId="312FD444">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sz w:val="28"/>
          <w:szCs w:val="28"/>
        </w:rPr>
        <w:t>2.7 乙方对自己员工负有</w:t>
      </w:r>
      <w:r>
        <w:rPr>
          <w:rFonts w:hint="eastAsia" w:ascii="仿宋" w:hAnsi="仿宋" w:eastAsia="仿宋" w:cs="Times New Roman"/>
          <w:color w:val="000000"/>
          <w:sz w:val="28"/>
          <w:szCs w:val="28"/>
        </w:rPr>
        <w:t>安全生产相关法规要求履行</w:t>
      </w:r>
      <w:r>
        <w:rPr>
          <w:rFonts w:hint="eastAsia" w:ascii="仿宋" w:hAnsi="仿宋" w:eastAsia="仿宋" w:cs="Times New Roman"/>
          <w:sz w:val="28"/>
          <w:szCs w:val="28"/>
        </w:rPr>
        <w:t>的安全管理责任。</w:t>
      </w:r>
      <w:r>
        <w:rPr>
          <w:rFonts w:hint="eastAsia" w:ascii="仿宋" w:hAnsi="仿宋" w:eastAsia="仿宋" w:cs="Times New Roman"/>
          <w:color w:val="000000"/>
          <w:sz w:val="28"/>
          <w:szCs w:val="28"/>
        </w:rPr>
        <w:t>承担乙方在作业过程中发生安全事故引起的应负损失（按国家相关法律法规和事故调查报告各自承担的责任进行划分）。</w:t>
      </w:r>
    </w:p>
    <w:p w14:paraId="62DF2D87">
      <w:pPr>
        <w:spacing w:line="360" w:lineRule="auto"/>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 xml:space="preserve">2.8 </w:t>
      </w:r>
      <w:r>
        <w:rPr>
          <w:rFonts w:hint="eastAsia" w:ascii="仿宋" w:hAnsi="仿宋" w:eastAsia="仿宋" w:cs="Times New Roman"/>
          <w:color w:val="000000"/>
          <w:sz w:val="28"/>
          <w:szCs w:val="28"/>
        </w:rPr>
        <w:t>因乙方人员违规违章指挥或操作发生</w:t>
      </w:r>
      <w:r>
        <w:rPr>
          <w:rFonts w:hint="eastAsia" w:ascii="仿宋" w:hAnsi="仿宋" w:eastAsia="仿宋" w:cs="Times New Roman"/>
          <w:sz w:val="28"/>
          <w:szCs w:val="28"/>
        </w:rPr>
        <w:t>安全事故而引起的政府罚款（包括对业主的部分）将由乙方承担</w:t>
      </w:r>
      <w:r>
        <w:rPr>
          <w:rFonts w:hint="eastAsia" w:ascii="仿宋" w:hAnsi="仿宋" w:eastAsia="仿宋" w:cs="Times New Roman"/>
          <w:sz w:val="28"/>
          <w:szCs w:val="28"/>
          <w:lang w:eastAsia="zh-CN"/>
        </w:rPr>
        <w:t>。</w:t>
      </w:r>
    </w:p>
    <w:p w14:paraId="7C9CA44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2.9 乙方人员发生现场违章、重伤以上安全事故，接受甲方的相关处罚。</w:t>
      </w:r>
    </w:p>
    <w:p w14:paraId="0648138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2.10 乙方按要求提供相关</w:t>
      </w:r>
      <w:r>
        <w:rPr>
          <w:rFonts w:hint="eastAsia" w:ascii="仿宋" w:hAnsi="仿宋" w:eastAsia="仿宋" w:cs="Times New Roman"/>
          <w:sz w:val="28"/>
          <w:szCs w:val="28"/>
          <w:lang w:val="en-US" w:eastAsia="zh-CN"/>
        </w:rPr>
        <w:t>运输</w:t>
      </w:r>
      <w:r>
        <w:rPr>
          <w:rFonts w:hint="eastAsia" w:ascii="仿宋" w:hAnsi="仿宋" w:eastAsia="仿宋" w:cs="Times New Roman"/>
          <w:sz w:val="28"/>
          <w:szCs w:val="28"/>
        </w:rPr>
        <w:t>资质证明材料。</w:t>
      </w:r>
    </w:p>
    <w:p w14:paraId="1E10805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2.11 乙方所有人员进厂（场）作业前，持本《安全协议》、进厂人员花名册到甲方安全管理部门培训。</w:t>
      </w:r>
    </w:p>
    <w:p w14:paraId="3F6CBA1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2.12 乙方必须遵守国家相关法律、法规及甲方的安全规定。</w:t>
      </w:r>
    </w:p>
    <w:p w14:paraId="1DABD52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2.13 乙方为作业人员配备符合国家法律法规要求及甲方规定的个人劳动防护用品，并督促其作业人员按要求穿戴劳动防护用品，</w:t>
      </w:r>
      <w:r>
        <w:rPr>
          <w:rFonts w:ascii="仿宋" w:hAnsi="仿宋" w:eastAsia="仿宋" w:cs="Times New Roman"/>
          <w:sz w:val="28"/>
          <w:szCs w:val="28"/>
        </w:rPr>
        <w:t>有相关发放记录</w:t>
      </w:r>
      <w:r>
        <w:rPr>
          <w:rFonts w:hint="eastAsia" w:ascii="仿宋" w:hAnsi="仿宋" w:eastAsia="仿宋" w:cs="Times New Roman"/>
          <w:sz w:val="28"/>
          <w:szCs w:val="28"/>
        </w:rPr>
        <w:t>。</w:t>
      </w:r>
    </w:p>
    <w:p w14:paraId="53AAD0D0">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2.14 乙方按要求为作业人员办理工伤保险或意外伤害保险。 </w:t>
      </w:r>
    </w:p>
    <w:p w14:paraId="59D7EFF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w:t>
      </w:r>
      <w:r>
        <w:rPr>
          <w:rFonts w:ascii="仿宋" w:hAnsi="仿宋" w:eastAsia="仿宋" w:cs="Times New Roman"/>
          <w:sz w:val="28"/>
          <w:szCs w:val="28"/>
        </w:rPr>
        <w:t>5</w:t>
      </w:r>
      <w:r>
        <w:rPr>
          <w:rFonts w:hint="eastAsia" w:ascii="仿宋" w:hAnsi="仿宋" w:eastAsia="仿宋" w:cs="Times New Roman"/>
          <w:sz w:val="28"/>
          <w:szCs w:val="28"/>
        </w:rPr>
        <w:t xml:space="preserve"> 乙方有权拒绝甲方的违章指挥和使用不安全的设施。</w:t>
      </w:r>
    </w:p>
    <w:p w14:paraId="157039DA">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2.16 乙方必须规范运输。乙方在货物装卸及运输过程中，必须确保装卸及运输安全。</w:t>
      </w:r>
    </w:p>
    <w:p w14:paraId="4A419BBD">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2.17 乙方运输车辆到达甲方指定地点后，必须服从甲方的统一管理、调度和指挥，严格遵守工地安全管理，服从现场交通秩序，保证现场道路的畅通和运输安全，不得乱停、乱靠、乱装、乱卸，不得争道抢行、超速行驶。</w:t>
      </w:r>
    </w:p>
    <w:p w14:paraId="0508FE70">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2.18 乙方运输车辆驾驶员，由乙方审查其是否持有与驾车型相匹配的有效驾驶证、资格证的原件，是否达到准驾车型的驾驶年限，并保管其运输车辆驾驶员提交的身份证、驾驶证、资格证等证件。</w:t>
      </w:r>
    </w:p>
    <w:p w14:paraId="25ADAE6B">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2.19 乙方必须对涉及职业病危害因数的岗位员工进行告知。对所有派遣到甲方涉及职业病危害因数的作业人员定期进行相应职业健康体检，职业禁忌症者，应对其调离本岗，并将体检档案资料扫描或复印交甲方备案。</w:t>
      </w:r>
    </w:p>
    <w:p w14:paraId="1EA4A5AF">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2.20 乙方做好夏季高温防暑、雨天防洪防雷等恶劣天气的安全防范工作，以防中暑、雷击等突发事故发生。</w:t>
      </w:r>
    </w:p>
    <w:p w14:paraId="5A7CE16B">
      <w:pPr>
        <w:spacing w:line="360" w:lineRule="auto"/>
        <w:ind w:firstLine="560" w:firstLineChars="200"/>
        <w:jc w:val="left"/>
        <w:rPr>
          <w:rFonts w:ascii="仿宋" w:hAnsi="仿宋" w:eastAsia="仿宋" w:cs="Times New Roman"/>
          <w:sz w:val="28"/>
          <w:szCs w:val="28"/>
        </w:rPr>
      </w:pPr>
      <w:r>
        <w:rPr>
          <w:rFonts w:ascii="仿宋" w:hAnsi="仿宋" w:eastAsia="仿宋" w:cs="Times New Roman"/>
          <w:sz w:val="28"/>
          <w:szCs w:val="28"/>
        </w:rPr>
        <w:t>2.21 乙方运输车辆进出甲方场地必须冲洗轮胎，保证轮胎干净上路；车辆运输过程中无撒漏。</w:t>
      </w:r>
    </w:p>
    <w:p w14:paraId="31913717">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2.22 乙方运输车辆在运输作业中造成周边环境扬尘污染、路面污染、噪声污染等，被有关部门处以行政罚款的，由乙方承担违规处罚费用及相应责任。如因此给甲方造成损失的，甲方有权向乙方追偿，追偿时可从乙方的款项中扣留支付。</w:t>
      </w:r>
    </w:p>
    <w:p w14:paraId="3A9B0D8E">
      <w:pPr>
        <w:spacing w:line="360" w:lineRule="auto"/>
        <w:ind w:firstLine="551" w:firstLineChars="196"/>
        <w:rPr>
          <w:rFonts w:ascii="仿宋" w:hAnsi="仿宋" w:eastAsia="仿宋" w:cs="Times New Roman"/>
          <w:b/>
          <w:sz w:val="28"/>
          <w:szCs w:val="28"/>
        </w:rPr>
      </w:pPr>
      <w:r>
        <w:rPr>
          <w:rFonts w:hint="eastAsia" w:ascii="仿宋" w:hAnsi="仿宋" w:eastAsia="仿宋" w:cs="Times New Roman"/>
          <w:b/>
          <w:sz w:val="28"/>
          <w:szCs w:val="28"/>
        </w:rPr>
        <w:t>三 安全协议内容</w:t>
      </w:r>
    </w:p>
    <w:p w14:paraId="6430DA61">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(一) 约定的主要内容</w:t>
      </w:r>
    </w:p>
    <w:p w14:paraId="7F57F81D">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sz w:val="28"/>
          <w:szCs w:val="28"/>
        </w:rPr>
        <w:t>3.1 双方必须遵守各自的安全责任。</w:t>
      </w:r>
      <w:r>
        <w:rPr>
          <w:rFonts w:hint="eastAsia" w:ascii="仿宋" w:hAnsi="仿宋" w:eastAsia="仿宋" w:cs="Times New Roman"/>
          <w:color w:val="000000"/>
          <w:sz w:val="28"/>
          <w:szCs w:val="28"/>
        </w:rPr>
        <w:t>乙方不得将运输业务非法转包、分包。</w:t>
      </w:r>
    </w:p>
    <w:p w14:paraId="753B726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3.2 乙方所提供的承包</w:t>
      </w:r>
      <w:r>
        <w:rPr>
          <w:rFonts w:hint="eastAsia" w:ascii="仿宋" w:hAnsi="仿宋" w:eastAsia="仿宋" w:cs="Times New Roman"/>
          <w:color w:val="000000"/>
          <w:sz w:val="28"/>
          <w:szCs w:val="28"/>
        </w:rPr>
        <w:t>运输业务</w:t>
      </w:r>
      <w:r>
        <w:rPr>
          <w:rFonts w:hint="eastAsia" w:ascii="仿宋" w:hAnsi="仿宋" w:eastAsia="仿宋" w:cs="Times New Roman"/>
          <w:sz w:val="28"/>
          <w:szCs w:val="28"/>
        </w:rPr>
        <w:t>要求的相关资质证明材料应真实、合法、有效。</w:t>
      </w:r>
    </w:p>
    <w:p w14:paraId="78EB3B5E">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3.3 乙方必须使用符合国家标准的设备、工具，不准使用报废的、存在严重安全隐患的设备或工具。</w:t>
      </w:r>
    </w:p>
    <w:p w14:paraId="133F5DB8">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3.4 乙方应保证全体运输项目人员经过甲方的安全教育培训，司机必须有国家相关部门核发的合格有效的驾驶证。</w:t>
      </w:r>
    </w:p>
    <w:p w14:paraId="092DF51A">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3.5 乙方应组织人员对</w:t>
      </w:r>
      <w:r>
        <w:rPr>
          <w:rFonts w:hint="eastAsia" w:ascii="仿宋" w:hAnsi="仿宋" w:eastAsia="仿宋" w:cs="Times New Roman"/>
          <w:color w:val="000000"/>
          <w:sz w:val="28"/>
          <w:szCs w:val="28"/>
        </w:rPr>
        <w:t>运输业务所涉及的区域</w:t>
      </w:r>
      <w:r>
        <w:rPr>
          <w:rFonts w:hint="eastAsia" w:ascii="仿宋" w:hAnsi="仿宋" w:eastAsia="仿宋" w:cs="Times New Roman"/>
          <w:sz w:val="28"/>
          <w:szCs w:val="28"/>
        </w:rPr>
        <w:t>、作业环境及使用甲方提供的设施设备、工器具等进行检查，确认符合安全要求，一经开工，就表示乙方已确认施工现场、作业环境、设施设备、工器具符合安全要求并处于安全状态。</w:t>
      </w:r>
    </w:p>
    <w:p w14:paraId="6CCFC38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3.6 </w:t>
      </w:r>
      <w:r>
        <w:rPr>
          <w:rFonts w:hint="eastAsia" w:ascii="仿宋" w:hAnsi="仿宋" w:eastAsia="仿宋" w:cs="Times New Roman"/>
          <w:sz w:val="28"/>
          <w:szCs w:val="28"/>
          <w:lang w:val="en-US" w:eastAsia="zh-CN"/>
        </w:rPr>
        <w:t>甲</w:t>
      </w:r>
      <w:r>
        <w:rPr>
          <w:rFonts w:hint="eastAsia" w:ascii="仿宋" w:hAnsi="仿宋" w:eastAsia="仿宋" w:cs="Times New Roman"/>
          <w:sz w:val="28"/>
          <w:szCs w:val="28"/>
        </w:rPr>
        <w:t>方应在</w:t>
      </w:r>
      <w:r>
        <w:rPr>
          <w:rFonts w:hint="eastAsia" w:ascii="仿宋" w:hAnsi="仿宋" w:eastAsia="仿宋" w:cs="Times New Roman"/>
          <w:color w:val="000000"/>
          <w:sz w:val="28"/>
          <w:szCs w:val="28"/>
        </w:rPr>
        <w:t>装卸范围装设临时围栏或警告标志</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乙方</w:t>
      </w:r>
      <w:r>
        <w:rPr>
          <w:rFonts w:hint="eastAsia" w:ascii="仿宋" w:hAnsi="仿宋" w:eastAsia="仿宋" w:cs="Times New Roman"/>
          <w:sz w:val="28"/>
          <w:szCs w:val="28"/>
        </w:rPr>
        <w:t>不得超越指定的</w:t>
      </w:r>
      <w:r>
        <w:rPr>
          <w:rFonts w:hint="eastAsia" w:ascii="仿宋" w:hAnsi="仿宋" w:eastAsia="仿宋" w:cs="Times New Roman"/>
          <w:color w:val="000000"/>
          <w:sz w:val="28"/>
          <w:szCs w:val="28"/>
        </w:rPr>
        <w:t>装卸范围进行装卸，</w:t>
      </w:r>
      <w:r>
        <w:rPr>
          <w:rFonts w:hint="eastAsia" w:ascii="仿宋" w:hAnsi="仿宋" w:eastAsia="仿宋" w:cs="Times New Roman"/>
          <w:color w:val="000000"/>
          <w:sz w:val="28"/>
          <w:szCs w:val="28"/>
          <w:lang w:val="en-US" w:eastAsia="zh-CN"/>
        </w:rPr>
        <w:t>乙方</w:t>
      </w:r>
      <w:r>
        <w:rPr>
          <w:rFonts w:hint="eastAsia" w:ascii="仿宋" w:hAnsi="仿宋" w:eastAsia="仿宋" w:cs="Times New Roman"/>
          <w:color w:val="000000"/>
          <w:sz w:val="28"/>
          <w:szCs w:val="28"/>
        </w:rPr>
        <w:t>不得偏离甲方划定的厂内交通运输路线。</w:t>
      </w:r>
    </w:p>
    <w:p w14:paraId="0E48019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3.7 未经甲方同意，乙方不得擅自使用与运输无关的甲方设施设备；不得私拉乱接甲方的水、电、气等管路、线路；不得擅自拆除、变更甲方防护设施及标示。</w:t>
      </w:r>
    </w:p>
    <w:p w14:paraId="2D07DE9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8</w:t>
      </w:r>
      <w:r>
        <w:rPr>
          <w:rFonts w:hint="eastAsia" w:ascii="仿宋" w:hAnsi="仿宋" w:eastAsia="仿宋" w:cs="Times New Roman"/>
          <w:sz w:val="28"/>
          <w:szCs w:val="28"/>
        </w:rPr>
        <w:t>乙方必须接受甲方的监督、检查，对甲方提出的安全整改意见必须及时整改，同时乙方不得以此作为增加项目费用及合同金额的理由。</w:t>
      </w:r>
    </w:p>
    <w:p w14:paraId="3D52F3DE">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9</w:t>
      </w:r>
      <w:r>
        <w:rPr>
          <w:rFonts w:hint="eastAsia" w:ascii="仿宋" w:hAnsi="仿宋" w:eastAsia="仿宋" w:cs="Times New Roman"/>
          <w:sz w:val="28"/>
          <w:szCs w:val="28"/>
        </w:rPr>
        <w:t xml:space="preserve"> 乙方在运输过程中发生人身伤亡情况，应立即报告甲方，并积极配合调查。</w:t>
      </w:r>
    </w:p>
    <w:p w14:paraId="698554C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0</w:t>
      </w:r>
      <w:r>
        <w:rPr>
          <w:rFonts w:hint="eastAsia" w:ascii="仿宋" w:hAnsi="仿宋" w:eastAsia="仿宋" w:cs="Times New Roman"/>
          <w:sz w:val="28"/>
          <w:szCs w:val="28"/>
        </w:rPr>
        <w:t xml:space="preserve"> 乙方在与甲方签订协议时，已经熟知本条第（二）款约定遵守的安全制度和程序，并愿意严格遵守这些制度和程序，如违反这些制度和程序，愿意承担相应的法律责任及经济责任。</w:t>
      </w:r>
    </w:p>
    <w:p w14:paraId="156558E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1</w:t>
      </w:r>
      <w:r>
        <w:rPr>
          <w:rFonts w:hint="eastAsia" w:ascii="仿宋" w:hAnsi="仿宋" w:eastAsia="仿宋" w:cs="Times New Roman"/>
          <w:sz w:val="28"/>
          <w:szCs w:val="28"/>
        </w:rPr>
        <w:t xml:space="preserve"> 乙方保证如造成甲方设施损坏，进行限期赔偿或修复。</w:t>
      </w:r>
    </w:p>
    <w:p w14:paraId="3AAFD49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2</w:t>
      </w:r>
      <w:r>
        <w:rPr>
          <w:rFonts w:hint="eastAsia" w:ascii="仿宋" w:hAnsi="仿宋" w:eastAsia="仿宋" w:cs="Times New Roman"/>
          <w:sz w:val="28"/>
          <w:szCs w:val="28"/>
        </w:rPr>
        <w:t xml:space="preserve"> 乙方保证若不能遵守本安全协议的内容，将无条件服从甲方停工整顿决定，并承担相应的损失。</w:t>
      </w:r>
    </w:p>
    <w:p w14:paraId="2A295366">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(二) </w:t>
      </w:r>
      <w:r>
        <w:rPr>
          <w:rFonts w:hint="eastAsia" w:ascii="仿宋" w:hAnsi="仿宋" w:eastAsia="仿宋" w:cs="Times New Roman"/>
          <w:iCs/>
          <w:sz w:val="28"/>
          <w:szCs w:val="28"/>
        </w:rPr>
        <w:t>约定遵守的安全制度和程序</w:t>
      </w:r>
    </w:p>
    <w:p w14:paraId="0C87EDFD">
      <w:pPr>
        <w:spacing w:line="360" w:lineRule="auto"/>
        <w:ind w:firstLine="560" w:firstLineChars="200"/>
        <w:rPr>
          <w:rFonts w:ascii="仿宋" w:hAnsi="仿宋" w:eastAsia="仿宋" w:cs="Times New Roman"/>
          <w:bCs/>
          <w:iCs/>
          <w:sz w:val="28"/>
          <w:szCs w:val="28"/>
        </w:rPr>
      </w:pPr>
      <w:r>
        <w:rPr>
          <w:rFonts w:hint="eastAsia" w:ascii="仿宋" w:hAnsi="仿宋" w:eastAsia="仿宋" w:cs="Times New Roman"/>
          <w:bCs/>
          <w:iCs/>
          <w:sz w:val="28"/>
          <w:szCs w:val="28"/>
        </w:rPr>
        <w:t>国家有关安全方面的法律法规；</w:t>
      </w:r>
      <w:r>
        <w:rPr>
          <w:rFonts w:hint="eastAsia" w:ascii="仿宋" w:hAnsi="仿宋" w:eastAsia="仿宋" w:cs="Times New Roman"/>
          <w:bCs/>
          <w:iCs/>
          <w:color w:val="000000"/>
          <w:sz w:val="28"/>
          <w:szCs w:val="28"/>
        </w:rPr>
        <w:t>《</w:t>
      </w:r>
      <w:r>
        <w:rPr>
          <w:rFonts w:hint="eastAsia" w:ascii="仿宋" w:hAnsi="仿宋" w:eastAsia="仿宋" w:cs="Times New Roman"/>
          <w:bCs/>
          <w:iCs/>
          <w:color w:val="000000"/>
          <w:sz w:val="28"/>
          <w:szCs w:val="28"/>
          <w:lang w:val="en-US" w:eastAsia="zh-CN"/>
        </w:rPr>
        <w:t>海垦润丰（屯昌）新型环保建材有限公司安全管理制度汇编</w:t>
      </w:r>
      <w:r>
        <w:rPr>
          <w:rFonts w:hint="eastAsia" w:ascii="仿宋" w:hAnsi="仿宋" w:eastAsia="仿宋" w:cs="Times New Roman"/>
          <w:bCs/>
          <w:iCs/>
          <w:color w:val="000000"/>
          <w:sz w:val="28"/>
          <w:szCs w:val="28"/>
        </w:rPr>
        <w:t>》（</w:t>
      </w:r>
      <w:r>
        <w:rPr>
          <w:rFonts w:ascii="仿宋" w:hAnsi="仿宋" w:eastAsia="仿宋" w:cs="Times New Roman"/>
          <w:bCs/>
          <w:iCs/>
          <w:color w:val="000000"/>
          <w:sz w:val="28"/>
          <w:szCs w:val="28"/>
        </w:rPr>
        <w:t>202</w:t>
      </w:r>
      <w:r>
        <w:rPr>
          <w:rFonts w:hint="eastAsia" w:ascii="仿宋" w:hAnsi="仿宋" w:eastAsia="仿宋" w:cs="Times New Roman"/>
          <w:bCs/>
          <w:iCs/>
          <w:color w:val="000000"/>
          <w:sz w:val="28"/>
          <w:szCs w:val="28"/>
          <w:lang w:val="en-US" w:eastAsia="zh-CN"/>
        </w:rPr>
        <w:t>3</w:t>
      </w:r>
      <w:r>
        <w:rPr>
          <w:rFonts w:ascii="仿宋" w:hAnsi="仿宋" w:eastAsia="仿宋" w:cs="Times New Roman"/>
          <w:bCs/>
          <w:iCs/>
          <w:color w:val="000000"/>
          <w:sz w:val="28"/>
          <w:szCs w:val="28"/>
        </w:rPr>
        <w:t>年版）</w:t>
      </w:r>
      <w:r>
        <w:rPr>
          <w:rFonts w:hint="eastAsia" w:ascii="仿宋" w:hAnsi="仿宋" w:eastAsia="仿宋" w:cs="Times New Roman"/>
          <w:bCs/>
          <w:iCs/>
          <w:color w:val="000000"/>
          <w:sz w:val="28"/>
          <w:szCs w:val="28"/>
        </w:rPr>
        <w:t>、</w:t>
      </w:r>
      <w:r>
        <w:rPr>
          <w:rFonts w:hint="eastAsia" w:ascii="仿宋" w:hAnsi="仿宋" w:eastAsia="仿宋" w:cs="Times New Roman"/>
          <w:bCs/>
          <w:iCs/>
          <w:sz w:val="28"/>
          <w:szCs w:val="28"/>
        </w:rPr>
        <w:t>《安全协议》及公司其他安全管理制度等。</w:t>
      </w:r>
    </w:p>
    <w:p w14:paraId="5196C508">
      <w:pPr>
        <w:spacing w:line="360" w:lineRule="auto"/>
        <w:ind w:firstLine="560" w:firstLineChars="200"/>
        <w:rPr>
          <w:rFonts w:ascii="仿宋" w:hAnsi="仿宋" w:eastAsia="仿宋" w:cs="Times New Roman"/>
          <w:bCs/>
          <w:iCs/>
          <w:sz w:val="28"/>
          <w:szCs w:val="28"/>
        </w:rPr>
      </w:pPr>
      <w:r>
        <w:rPr>
          <w:rFonts w:hint="eastAsia" w:ascii="仿宋" w:hAnsi="仿宋" w:eastAsia="仿宋" w:cs="Times New Roman"/>
          <w:bCs/>
          <w:iCs/>
          <w:sz w:val="28"/>
          <w:szCs w:val="28"/>
        </w:rPr>
        <w:t>项目实施前，双方的项目负责人、安全管理人员等相关人员应充分沟通，明确项目安全工作内容。</w:t>
      </w:r>
    </w:p>
    <w:p w14:paraId="4BA47548">
      <w:pPr>
        <w:spacing w:line="360" w:lineRule="auto"/>
        <w:ind w:firstLine="551" w:firstLineChars="196"/>
        <w:rPr>
          <w:rFonts w:ascii="仿宋" w:hAnsi="仿宋" w:eastAsia="仿宋" w:cs="Times New Roman"/>
          <w:b/>
          <w:bCs/>
          <w:sz w:val="28"/>
          <w:szCs w:val="28"/>
        </w:rPr>
      </w:pPr>
      <w:r>
        <w:rPr>
          <w:rFonts w:hint="eastAsia" w:ascii="仿宋" w:hAnsi="仿宋" w:eastAsia="仿宋" w:cs="Times New Roman"/>
          <w:b/>
          <w:bCs/>
          <w:iCs/>
          <w:sz w:val="28"/>
          <w:szCs w:val="28"/>
        </w:rPr>
        <w:t>四</w:t>
      </w:r>
      <w:r>
        <w:rPr>
          <w:rFonts w:hint="eastAsia" w:ascii="仿宋" w:hAnsi="仿宋" w:eastAsia="仿宋" w:cs="Times New Roman"/>
          <w:bCs/>
          <w:iCs/>
          <w:sz w:val="28"/>
          <w:szCs w:val="28"/>
        </w:rPr>
        <w:t xml:space="preserve"> </w:t>
      </w:r>
      <w:r>
        <w:rPr>
          <w:rFonts w:hint="eastAsia" w:ascii="仿宋" w:hAnsi="仿宋" w:eastAsia="仿宋" w:cs="Times New Roman"/>
          <w:b/>
          <w:bCs/>
          <w:sz w:val="28"/>
          <w:szCs w:val="28"/>
        </w:rPr>
        <w:t>约定的处罚内容</w:t>
      </w:r>
    </w:p>
    <w:p w14:paraId="2B87486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(一) 处罚原则和依据</w:t>
      </w:r>
    </w:p>
    <w:p w14:paraId="4B925687">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.1</w:t>
      </w:r>
      <w:r>
        <w:rPr>
          <w:rFonts w:hint="eastAsia" w:ascii="仿宋" w:hAnsi="仿宋" w:eastAsia="仿宋" w:cs="Times New Roman"/>
          <w:sz w:val="28"/>
          <w:szCs w:val="28"/>
        </w:rPr>
        <w:t xml:space="preserve"> 对乙方违反甲方相关安全规定的行为，甲方可采取扣除违约金、停工整顿甚至终止合同等措施。</w:t>
      </w:r>
    </w:p>
    <w:p w14:paraId="3DD567A3">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.2</w:t>
      </w:r>
      <w:r>
        <w:rPr>
          <w:rFonts w:hint="eastAsia" w:ascii="仿宋" w:hAnsi="仿宋" w:eastAsia="仿宋" w:cs="Times New Roman"/>
          <w:sz w:val="28"/>
          <w:szCs w:val="28"/>
        </w:rPr>
        <w:t xml:space="preserve"> 所有处罚由甲方直接对乙方发生，甲方也可以处罚乙方项目现场负责人。</w:t>
      </w:r>
    </w:p>
    <w:p w14:paraId="24C66651">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.3</w:t>
      </w:r>
      <w:r>
        <w:rPr>
          <w:rFonts w:hint="eastAsia" w:ascii="仿宋" w:hAnsi="仿宋" w:eastAsia="仿宋" w:cs="Times New Roman"/>
          <w:sz w:val="28"/>
          <w:szCs w:val="28"/>
        </w:rPr>
        <w:t xml:space="preserve"> 不同的处罚方式可同时执行。</w:t>
      </w:r>
    </w:p>
    <w:p w14:paraId="59B3DECD">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.4</w:t>
      </w:r>
      <w:r>
        <w:rPr>
          <w:rFonts w:hint="eastAsia" w:ascii="仿宋" w:hAnsi="仿宋" w:eastAsia="仿宋" w:cs="Times New Roman"/>
          <w:sz w:val="28"/>
          <w:szCs w:val="28"/>
        </w:rPr>
        <w:t xml:space="preserve"> 因乙方</w:t>
      </w:r>
      <w:r>
        <w:rPr>
          <w:rFonts w:hint="eastAsia" w:ascii="仿宋" w:hAnsi="仿宋" w:eastAsia="仿宋" w:cs="Times New Roman"/>
          <w:color w:val="000000"/>
          <w:sz w:val="28"/>
          <w:szCs w:val="28"/>
        </w:rPr>
        <w:t>违法违规违章造成的安全</w:t>
      </w:r>
      <w:r>
        <w:rPr>
          <w:rFonts w:hint="eastAsia" w:ascii="仿宋" w:hAnsi="仿宋" w:eastAsia="仿宋" w:cs="Times New Roman"/>
          <w:sz w:val="28"/>
          <w:szCs w:val="28"/>
        </w:rPr>
        <w:t>处罚，所有损失由乙方负责。</w:t>
      </w:r>
    </w:p>
    <w:p w14:paraId="70AE8CE1">
      <w:pPr>
        <w:tabs>
          <w:tab w:val="left" w:pos="315"/>
          <w:tab w:val="left" w:pos="840"/>
        </w:tabs>
        <w:spacing w:line="360" w:lineRule="auto"/>
        <w:ind w:firstLine="560" w:firstLineChars="200"/>
        <w:rPr>
          <w:rFonts w:ascii="仿宋" w:hAnsi="仿宋" w:eastAsia="仿宋" w:cs="Times New Roman"/>
          <w:bCs/>
          <w:sz w:val="28"/>
          <w:szCs w:val="28"/>
        </w:rPr>
      </w:pPr>
      <w:r>
        <w:rPr>
          <w:rFonts w:hint="eastAsia" w:ascii="仿宋" w:hAnsi="仿宋" w:eastAsia="仿宋" w:cs="Times New Roman"/>
          <w:sz w:val="28"/>
          <w:szCs w:val="28"/>
        </w:rPr>
        <w:t xml:space="preserve">(二) </w:t>
      </w:r>
      <w:r>
        <w:rPr>
          <w:rFonts w:hint="eastAsia" w:ascii="仿宋" w:hAnsi="仿宋" w:eastAsia="仿宋" w:cs="Times New Roman"/>
          <w:bCs/>
          <w:sz w:val="28"/>
          <w:szCs w:val="28"/>
        </w:rPr>
        <w:t>处理程序</w:t>
      </w:r>
    </w:p>
    <w:p w14:paraId="4AACC9D7">
      <w:pPr>
        <w:spacing w:line="360" w:lineRule="auto"/>
        <w:ind w:firstLine="560" w:firstLineChars="200"/>
        <w:jc w:val="left"/>
        <w:rPr>
          <w:rFonts w:ascii="仿宋" w:hAnsi="仿宋" w:eastAsia="仿宋" w:cs="Times New Roman"/>
          <w:color w:val="000000"/>
          <w:sz w:val="28"/>
          <w:szCs w:val="28"/>
        </w:rPr>
      </w:pPr>
      <w:r>
        <w:rPr>
          <w:rFonts w:hint="eastAsia" w:ascii="仿宋" w:hAnsi="仿宋" w:eastAsia="仿宋" w:cs="Times New Roman"/>
          <w:sz w:val="28"/>
          <w:szCs w:val="28"/>
        </w:rPr>
        <w:t>4.5 由甲方安全管理部门拟定处罚单，并将处罚通知单交给乙方，乙方根据处罚单限期到甲方财务部申请执行</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乙方可以按内部规定对个人或承包商进行相关的处罚。</w:t>
      </w:r>
    </w:p>
    <w:p w14:paraId="38F267F6">
      <w:pPr>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4.6 处罚</w:t>
      </w:r>
      <w:r>
        <w:rPr>
          <w:rFonts w:hint="eastAsia" w:ascii="仿宋" w:hAnsi="仿宋" w:eastAsia="仿宋" w:cs="Times New Roman"/>
          <w:sz w:val="28"/>
          <w:szCs w:val="28"/>
          <w:lang w:val="en-US" w:eastAsia="zh-CN"/>
        </w:rPr>
        <w:t>单</w:t>
      </w:r>
      <w:r>
        <w:rPr>
          <w:rFonts w:hint="eastAsia" w:ascii="仿宋" w:hAnsi="仿宋" w:eastAsia="仿宋" w:cs="Times New Roman"/>
          <w:sz w:val="28"/>
          <w:szCs w:val="28"/>
        </w:rPr>
        <w:t>限期</w:t>
      </w:r>
      <w:r>
        <w:rPr>
          <w:rFonts w:hint="eastAsia" w:ascii="仿宋" w:hAnsi="仿宋" w:eastAsia="仿宋" w:cs="Times New Roman"/>
          <w:sz w:val="28"/>
          <w:szCs w:val="28"/>
          <w:lang w:val="en-US" w:eastAsia="zh-CN"/>
        </w:rPr>
        <w:t>未执行的，甲方有权停止服务</w:t>
      </w:r>
      <w:r>
        <w:rPr>
          <w:rFonts w:hint="eastAsia" w:ascii="仿宋" w:hAnsi="仿宋" w:eastAsia="仿宋" w:cs="Times New Roman"/>
          <w:sz w:val="28"/>
          <w:szCs w:val="28"/>
        </w:rPr>
        <w:t>。</w:t>
      </w:r>
    </w:p>
    <w:p w14:paraId="7E6B27AC">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4.7 对相关方的安全处罚将通过安全例会、安全公告等形式进行通报，并作为下次合作的评选条件。</w:t>
      </w:r>
    </w:p>
    <w:p w14:paraId="34E6AB5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(三) 处罚种类</w:t>
      </w:r>
    </w:p>
    <w:p w14:paraId="56D56A55">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4.8 处罚的种类如下：</w:t>
      </w:r>
    </w:p>
    <w:p w14:paraId="4AE79981">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（1）罚款； </w:t>
      </w:r>
    </w:p>
    <w:p w14:paraId="6F934C52">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（2）停工整顿；</w:t>
      </w:r>
    </w:p>
    <w:p w14:paraId="5C9D17A3">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（3）终止合同。</w:t>
      </w:r>
    </w:p>
    <w:p w14:paraId="46D1E73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(四)违章和事故处罚</w:t>
      </w:r>
      <w:r>
        <w:rPr>
          <w:rFonts w:ascii="仿宋" w:hAnsi="仿宋" w:eastAsia="仿宋" w:cs="Times New Roman"/>
          <w:sz w:val="28"/>
          <w:szCs w:val="28"/>
        </w:rPr>
        <w:tab/>
      </w:r>
    </w:p>
    <w:p w14:paraId="7EB3B0D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4.9 违章处罚</w:t>
      </w:r>
    </w:p>
    <w:p w14:paraId="5F658148">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（1）乙方未按规定办理进厂手续，如属乙方有意拖延或拒不办理的，支付违约金200～1000元，并由甲方安全管理部门或合同执行部门督促其补办有关手续。</w:t>
      </w:r>
    </w:p>
    <w:p w14:paraId="7F9867A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（2）乙方进场人员未经甲方公司安全培训的，每人次支付违约金200元，重新进行培训并考核合格后，方可进场作业。</w:t>
      </w:r>
    </w:p>
    <w:p w14:paraId="44C31274">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（3）乙方现场作业人员未按规定穿戴劳保用品的，每人次支付违约金200元。</w:t>
      </w:r>
    </w:p>
    <w:p w14:paraId="1E607793">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）禁烟区内违章吸烟，每人次支付违约金200元。</w:t>
      </w:r>
    </w:p>
    <w:p w14:paraId="512BA079">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）禁火区违章动用明火的，每次支付违约金400元，情节严重的按法律规定移交公安部门处理。</w:t>
      </w:r>
    </w:p>
    <w:p w14:paraId="2D630F90">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）在厂区有人行道的路段不走人行道的，每次支付违约金100元。</w:t>
      </w:r>
    </w:p>
    <w:p w14:paraId="648AF3E6">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）未经允许骑摩托车(或电动车)进入厂区施工区域，未按规定区域停放的，每次支付违约金100元。</w:t>
      </w:r>
    </w:p>
    <w:p w14:paraId="5BA53D87">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）乙方人员无故到其他生产区域或擅自动用甲方的设施设备，每人次支付违约金200～1000元。</w:t>
      </w:r>
    </w:p>
    <w:p w14:paraId="0061EA3A">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9</w:t>
      </w:r>
      <w:r>
        <w:rPr>
          <w:rFonts w:hint="eastAsia" w:ascii="仿宋" w:hAnsi="仿宋" w:eastAsia="仿宋" w:cs="Times New Roman"/>
          <w:sz w:val="28"/>
          <w:szCs w:val="28"/>
        </w:rPr>
        <w:t>）所属车辆在厂区内超速行驶或违规停放的，每次支付违约金200元。</w:t>
      </w:r>
    </w:p>
    <w:p w14:paraId="5B56779A">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1</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rPr>
        <w:t>）乙方对甲方提出的安全环保整改意见/整改通报不及时整改的，每次支付违约金500～3000元。</w:t>
      </w:r>
    </w:p>
    <w:p w14:paraId="5519770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1</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）由于乙方责任造成公司被投诉的，由乙方对相关问题进行整改并承担所产生的相应费用。</w:t>
      </w:r>
    </w:p>
    <w:p w14:paraId="05B1F3F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1</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）违反甲方其它相关安全管理的，视其情节分别支付违约金200</w:t>
      </w:r>
      <w:r>
        <w:rPr>
          <w:rFonts w:ascii="仿宋" w:hAnsi="仿宋" w:eastAsia="仿宋" w:cs="Times New Roman"/>
          <w:sz w:val="28"/>
          <w:szCs w:val="28"/>
        </w:rPr>
        <w:t>—</w:t>
      </w:r>
      <w:r>
        <w:rPr>
          <w:rFonts w:hint="eastAsia" w:ascii="仿宋" w:hAnsi="仿宋" w:eastAsia="仿宋" w:cs="Times New Roman"/>
          <w:sz w:val="28"/>
          <w:szCs w:val="28"/>
        </w:rPr>
        <w:t>3000元。</w:t>
      </w:r>
    </w:p>
    <w:p w14:paraId="4BAE643A">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4.10 事故处罚</w:t>
      </w:r>
    </w:p>
    <w:p w14:paraId="3EC4EE5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（1）乙方</w:t>
      </w:r>
      <w:r>
        <w:rPr>
          <w:rFonts w:hint="eastAsia" w:ascii="仿宋" w:hAnsi="仿宋" w:eastAsia="仿宋" w:cs="Times New Roman"/>
          <w:color w:val="000000"/>
          <w:sz w:val="28"/>
          <w:szCs w:val="28"/>
        </w:rPr>
        <w:t>承担国家相关法规要求承担的责任范围内的</w:t>
      </w:r>
      <w:r>
        <w:rPr>
          <w:rFonts w:hint="eastAsia" w:ascii="仿宋" w:hAnsi="仿宋" w:eastAsia="仿宋" w:cs="Times New Roman"/>
          <w:sz w:val="28"/>
          <w:szCs w:val="28"/>
        </w:rPr>
        <w:t>所有经济损失</w:t>
      </w:r>
      <w:r>
        <w:rPr>
          <w:rFonts w:hint="eastAsia" w:ascii="仿宋" w:hAnsi="仿宋" w:eastAsia="仿宋" w:cs="Times New Roman"/>
          <w:color w:val="000000"/>
          <w:sz w:val="28"/>
          <w:szCs w:val="28"/>
        </w:rPr>
        <w:t>。</w:t>
      </w:r>
    </w:p>
    <w:p w14:paraId="0B34CBC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（2）发生人身死亡事故，每死亡一人支付违约金5万元。</w:t>
      </w:r>
    </w:p>
    <w:p w14:paraId="45D98481">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（3）发生人身重伤事故，每重伤一人支付违约金2万元。</w:t>
      </w:r>
    </w:p>
    <w:p w14:paraId="7579B81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4.11 停工整顿</w:t>
      </w:r>
    </w:p>
    <w:p w14:paraId="2DAC008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（1）如乙方出现严重违章的行为，没有按时完成甲方规定的安全整改，有出现重大伤害的潜在因素等，甲方安全部门可强令其进行停工整顿。</w:t>
      </w:r>
    </w:p>
    <w:p w14:paraId="4B7988DC">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（2）停工整顿由安全管理部门签署停工整顿通知单，送达合同执行部门、合同签订部门、乙方执行。</w:t>
      </w:r>
    </w:p>
    <w:p w14:paraId="2D721518">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4.12 终止合同</w:t>
      </w:r>
    </w:p>
    <w:p w14:paraId="30DF948C">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（1）对于多次出现违章，或造成严重后果的，或可能发生重大伤亡潜在因素的，甲方有权提前终止合同而无需承担任何责任。</w:t>
      </w:r>
    </w:p>
    <w:p w14:paraId="1374A2C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（2）终止合同由公司合同签订部门实施。</w:t>
      </w:r>
    </w:p>
    <w:p w14:paraId="128256B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（3）本安全协议直至乙方与甲方终止合同时失效。</w:t>
      </w:r>
    </w:p>
    <w:p w14:paraId="249C3968">
      <w:pPr>
        <w:spacing w:line="360" w:lineRule="auto"/>
        <w:ind w:firstLine="562" w:firstLineChars="200"/>
        <w:jc w:val="left"/>
        <w:rPr>
          <w:rFonts w:ascii="仿宋" w:hAnsi="仿宋" w:eastAsia="仿宋" w:cs="Times New Roman"/>
          <w:b/>
          <w:bCs/>
          <w:sz w:val="28"/>
          <w:szCs w:val="28"/>
        </w:rPr>
      </w:pPr>
      <w:r>
        <w:rPr>
          <w:rFonts w:hint="eastAsia" w:ascii="仿宋" w:hAnsi="仿宋" w:eastAsia="仿宋" w:cs="Times New Roman"/>
          <w:b/>
          <w:bCs/>
          <w:sz w:val="28"/>
          <w:szCs w:val="28"/>
        </w:rPr>
        <w:t>五、本协议一式肆份、甲乙各执贰份、签字盖章后生效。</w:t>
      </w:r>
    </w:p>
    <w:p w14:paraId="070D3BAD">
      <w:pPr>
        <w:spacing w:line="360" w:lineRule="auto"/>
        <w:ind w:firstLine="0" w:firstLineChars="0"/>
        <w:rPr>
          <w:rFonts w:ascii="仿宋" w:hAnsi="仿宋" w:eastAsia="仿宋" w:cs="Times New Roman"/>
          <w:b/>
          <w:bCs/>
          <w:sz w:val="28"/>
          <w:szCs w:val="28"/>
        </w:rPr>
      </w:pPr>
    </w:p>
    <w:p w14:paraId="35211FED">
      <w:pPr>
        <w:spacing w:line="360" w:lineRule="auto"/>
        <w:ind w:firstLine="0" w:firstLineChars="0"/>
        <w:rPr>
          <w:rFonts w:ascii="仿宋" w:hAnsi="仿宋" w:eastAsia="仿宋" w:cs="Times New Roman"/>
          <w:b/>
          <w:bCs/>
          <w:sz w:val="28"/>
          <w:szCs w:val="28"/>
        </w:rPr>
      </w:pPr>
    </w:p>
    <w:p w14:paraId="63457E43">
      <w:pPr>
        <w:spacing w:line="360" w:lineRule="auto"/>
        <w:ind w:firstLine="0" w:firstLineChars="0"/>
        <w:rPr>
          <w:rFonts w:ascii="仿宋" w:hAnsi="仿宋" w:eastAsia="仿宋" w:cs="Times New Roman"/>
          <w:b/>
          <w:bCs/>
          <w:sz w:val="28"/>
          <w:szCs w:val="28"/>
        </w:rPr>
      </w:pPr>
      <w:r>
        <w:rPr>
          <w:rFonts w:hint="eastAsia" w:ascii="仿宋" w:hAnsi="仿宋" w:eastAsia="仿宋" w:cs="Times New Roman"/>
          <w:b/>
          <w:bCs/>
          <w:sz w:val="28"/>
          <w:szCs w:val="28"/>
        </w:rPr>
        <w:t>甲方：                               乙方：</w:t>
      </w:r>
    </w:p>
    <w:p w14:paraId="2397198A">
      <w:pPr>
        <w:spacing w:line="360" w:lineRule="auto"/>
        <w:ind w:firstLine="0" w:firstLineChars="0"/>
        <w:rPr>
          <w:rFonts w:ascii="仿宋" w:hAnsi="仿宋" w:eastAsia="仿宋" w:cs="Times New Roman"/>
          <w:b/>
          <w:bCs/>
          <w:sz w:val="28"/>
          <w:szCs w:val="28"/>
        </w:rPr>
      </w:pPr>
      <w:r>
        <w:rPr>
          <w:rFonts w:hint="eastAsia" w:ascii="仿宋" w:hAnsi="仿宋" w:eastAsia="仿宋" w:cs="Times New Roman"/>
          <w:b/>
          <w:bCs/>
          <w:sz w:val="28"/>
          <w:szCs w:val="28"/>
        </w:rPr>
        <w:t>代表签字：                           代表签字：</w:t>
      </w:r>
    </w:p>
    <w:p w14:paraId="6EFBE60E">
      <w:pPr>
        <w:spacing w:line="360" w:lineRule="auto"/>
        <w:ind w:firstLine="0" w:firstLineChars="0"/>
        <w:rPr>
          <w:rFonts w:ascii="等线" w:hAnsi="等线" w:eastAsia="等线" w:cs="Times New Roman"/>
          <w:sz w:val="21"/>
          <w:szCs w:val="22"/>
        </w:rPr>
      </w:pPr>
      <w:r>
        <w:rPr>
          <w:rFonts w:hint="eastAsia" w:ascii="仿宋" w:hAnsi="仿宋" w:eastAsia="仿宋" w:cs="Times New Roman"/>
          <w:b/>
          <w:bCs/>
          <w:sz w:val="28"/>
          <w:szCs w:val="28"/>
        </w:rPr>
        <w:t>日期：     年   月   日               日期：     年   月   日</w:t>
      </w:r>
    </w:p>
    <w:p w14:paraId="29DE20EE">
      <w:pPr>
        <w:pStyle w:val="2"/>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F88F">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387B3">
                          <w:pPr>
                            <w:pStyle w:val="4"/>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C9387B3">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022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1E9C">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86F1">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0F7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384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C7ED5"/>
    <w:multiLevelType w:val="multilevel"/>
    <w:tmpl w:val="29EC7ED5"/>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iZDRlNjg5YmZiMWY5YWZmZDM1YjIxNjI2MmFjZTUifQ=="/>
  </w:docVars>
  <w:rsids>
    <w:rsidRoot w:val="00000000"/>
    <w:rsid w:val="00467758"/>
    <w:rsid w:val="058B05CF"/>
    <w:rsid w:val="08866C0D"/>
    <w:rsid w:val="0F4D13D0"/>
    <w:rsid w:val="10FB5E9E"/>
    <w:rsid w:val="135C09F8"/>
    <w:rsid w:val="15C874C1"/>
    <w:rsid w:val="17010F3D"/>
    <w:rsid w:val="21792C72"/>
    <w:rsid w:val="22460F43"/>
    <w:rsid w:val="32EA58BF"/>
    <w:rsid w:val="35B93AAE"/>
    <w:rsid w:val="38CD5C4C"/>
    <w:rsid w:val="3AB7101C"/>
    <w:rsid w:val="4043770D"/>
    <w:rsid w:val="427C3437"/>
    <w:rsid w:val="4B204A5B"/>
    <w:rsid w:val="4B855343"/>
    <w:rsid w:val="4EF62CE7"/>
    <w:rsid w:val="57145C35"/>
    <w:rsid w:val="5B353327"/>
    <w:rsid w:val="6B79100E"/>
    <w:rsid w:val="6E113033"/>
    <w:rsid w:val="724C65E5"/>
    <w:rsid w:val="77F2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修订1"/>
    <w:autoRedefine/>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11">
    <w:name w:val="List Paragraph"/>
    <w:basedOn w:val="1"/>
    <w:unhideWhenUsed/>
    <w:qFormat/>
    <w:uiPriority w:val="99"/>
    <w:pPr>
      <w:ind w:firstLine="420"/>
    </w:pPr>
  </w:style>
  <w:style w:type="paragraph" w:customStyle="1" w:styleId="12">
    <w:name w:val="修订2"/>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13">
    <w:name w:val="Revision"/>
    <w:autoRedefine/>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7658</Words>
  <Characters>7898</Characters>
  <Lines>191</Lines>
  <Paragraphs>104</Paragraphs>
  <TotalTime>13</TotalTime>
  <ScaleCrop>false</ScaleCrop>
  <LinksUpToDate>false</LinksUpToDate>
  <CharactersWithSpaces>8674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2025-06-29T17:21:00Z</dcterms:created>
  <dc:creator>孙元隆</dc:creator>
  <cp:lastModifiedBy>李和珊</cp:lastModifiedBy>
  <cp:lastPrinted>2025-08-12T07:53:00Z</cp:lastPrinted>
  <dcterms:modified xsi:type="dcterms:W3CDTF">2026-05-29T07:34:14Z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2B9C11BEE5D64707A48476159E068F0B_13</vt:lpwstr>
  </property>
  <property fmtid="{D5CDD505-2E9C-101B-9397-08002B2CF9AE}" pid="4" name="KSOTemplateDocerSaveRecord">
    <vt:lpwstr>eyJoZGlkIjoiODMwZGYyMTRhMTIyYjliNzhmYzVhYTU0Y2M0OGUwZTAiLCJ1c2VySWQiOiIxNDg3NTA0MDc1In0=</vt:lpwstr>
  </property>
</Properties>
</file>