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7CA6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商铺承租协议</w:t>
      </w:r>
    </w:p>
    <w:p w14:paraId="6EAB86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p>
    <w:p w14:paraId="171B15A5">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甲方（出租方）：</w:t>
      </w:r>
      <w:r>
        <w:rPr>
          <w:rFonts w:hint="eastAsia" w:ascii="仿宋_GB2312" w:hAnsi="仿宋_GB2312" w:eastAsia="仿宋_GB2312" w:cs="仿宋_GB2312"/>
          <w:color w:val="auto"/>
          <w:sz w:val="32"/>
          <w:szCs w:val="32"/>
          <w:highlight w:val="none"/>
          <w:u w:val="single"/>
          <w:lang w:val="en-US" w:eastAsia="zh-CN"/>
        </w:rPr>
        <w:t xml:space="preserve">       东方市四更镇人民政府          </w:t>
      </w:r>
    </w:p>
    <w:p w14:paraId="376DC287">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w:t>
      </w:r>
      <w:r>
        <w:rPr>
          <w:rFonts w:hint="eastAsia" w:ascii="仿宋_GB2312" w:hAnsi="仿宋_GB2312" w:eastAsia="仿宋_GB2312" w:cs="仿宋_GB2312"/>
          <w:color w:val="auto"/>
          <w:sz w:val="32"/>
          <w:szCs w:val="32"/>
          <w:highlight w:val="none"/>
          <w:u w:val="single"/>
          <w:lang w:val="en-US" w:eastAsia="zh-CN"/>
        </w:rPr>
        <w:t xml:space="preserve">               吴学禹                   </w:t>
      </w:r>
    </w:p>
    <w:p w14:paraId="1C4AFF3F">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海南省东方市四更镇中心大道9号           </w:t>
      </w:r>
    </w:p>
    <w:p w14:paraId="41B73FD8">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0898-25672909                </w:t>
      </w:r>
    </w:p>
    <w:p w14:paraId="0C14D6BF">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p>
    <w:p w14:paraId="0482BADA">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乙方（意向承租方）：</w:t>
      </w:r>
    </w:p>
    <w:p w14:paraId="4BCE9136">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联 系 人：</w:t>
      </w:r>
      <w:r>
        <w:rPr>
          <w:rFonts w:hint="eastAsia" w:ascii="仿宋_GB2312" w:hAnsi="仿宋_GB2312" w:eastAsia="仿宋_GB2312" w:cs="仿宋_GB2312"/>
          <w:color w:val="auto"/>
          <w:sz w:val="32"/>
          <w:szCs w:val="32"/>
          <w:highlight w:val="none"/>
          <w:u w:val="single"/>
          <w:lang w:val="en-US" w:eastAsia="zh-CN"/>
        </w:rPr>
        <w:t xml:space="preserve">                                          </w:t>
      </w:r>
    </w:p>
    <w:p w14:paraId="47630053">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证件号码：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u w:val="single"/>
          <w:lang w:val="en-US" w:eastAsia="zh-CN"/>
        </w:rPr>
        <w:t xml:space="preserve">                                           </w:t>
      </w:r>
    </w:p>
    <w:p w14:paraId="673B3A2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Chars="200" w:right="0" w:rightChars="0"/>
        <w:textAlignment w:val="baseline"/>
        <w:rPr>
          <w:rFonts w:hint="eastAsia" w:ascii="仿宋_GB2312" w:hAnsi="仿宋_GB2312" w:eastAsia="仿宋_GB2312" w:cs="仿宋_GB2312"/>
          <w:color w:val="auto"/>
          <w:sz w:val="32"/>
          <w:szCs w:val="32"/>
          <w:highlight w:val="none"/>
          <w:lang w:val="en-US" w:eastAsia="zh-CN"/>
        </w:rPr>
      </w:pPr>
    </w:p>
    <w:p w14:paraId="1D09B6B2">
      <w:pPr>
        <w:keepNext w:val="0"/>
        <w:keepLines w:val="0"/>
        <w:pageBreakBefore w:val="0"/>
        <w:widowControl/>
        <w:wordWrap/>
        <w:overflowPunct/>
        <w:topLinePunct w:val="0"/>
        <w:bidi w:val="0"/>
        <w:spacing w:line="540" w:lineRule="exact"/>
        <w:ind w:firstLine="640" w:firstLineChars="200"/>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为了更好地保护国有资产，防止资产流失及有效增值国有资产，甲方同意将</w:t>
      </w:r>
      <w:r>
        <w:rPr>
          <w:rFonts w:hint="eastAsia" w:ascii="仿宋_GB2312" w:hAnsi="仿宋_GB2312" w:eastAsia="仿宋_GB2312" w:cs="仿宋_GB2312"/>
          <w:snapToGrid w:val="0"/>
          <w:color w:val="auto"/>
          <w:kern w:val="0"/>
          <w:sz w:val="32"/>
          <w:szCs w:val="32"/>
          <w:highlight w:val="none"/>
          <w:u w:val="single"/>
          <w:lang w:val="en-US" w:eastAsia="zh-CN" w:bidi="ar-SA"/>
        </w:rPr>
        <w:t xml:space="preserve">  9号、10号、11号、12号、13号商铺 </w:t>
      </w:r>
      <w:r>
        <w:rPr>
          <w:rFonts w:hint="eastAsia" w:ascii="仿宋_GB2312" w:hAnsi="仿宋_GB2312" w:eastAsia="仿宋_GB2312" w:cs="仿宋_GB2312"/>
          <w:snapToGrid w:val="0"/>
          <w:color w:val="auto"/>
          <w:kern w:val="0"/>
          <w:sz w:val="32"/>
          <w:szCs w:val="32"/>
          <w:highlight w:val="none"/>
          <w:lang w:val="en-US" w:eastAsia="zh-CN" w:bidi="ar-SA"/>
        </w:rPr>
        <w:t>出租给乙方使用。甲、乙双方在平等、自愿、协商一致的基础上，就商铺的租赁达成如下协议：</w:t>
      </w:r>
    </w:p>
    <w:p w14:paraId="00C8121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12"/>
          <w:sz w:val="32"/>
          <w:szCs w:val="32"/>
          <w:highlight w:val="none"/>
        </w:rPr>
        <w:t>第一条</w:t>
      </w:r>
      <w:r>
        <w:rPr>
          <w:rFonts w:hint="eastAsia" w:ascii="黑体" w:hAnsi="黑体" w:eastAsia="黑体" w:cs="黑体"/>
          <w:b w:val="0"/>
          <w:bCs w:val="0"/>
          <w:color w:val="auto"/>
          <w:spacing w:val="69"/>
          <w:sz w:val="32"/>
          <w:szCs w:val="32"/>
          <w:highlight w:val="none"/>
        </w:rPr>
        <w:t xml:space="preserve"> </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基本情况</w:t>
      </w:r>
    </w:p>
    <w:p w14:paraId="3400573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甲方出租坐落于东方市四更镇中心大道</w:t>
      </w:r>
      <w:r>
        <w:rPr>
          <w:rFonts w:hint="eastAsia" w:ascii="仿宋_GB2312" w:hAnsi="仿宋_GB2312" w:eastAsia="仿宋_GB2312" w:cs="仿宋_GB2312"/>
          <w:color w:val="auto"/>
          <w:sz w:val="32"/>
          <w:szCs w:val="32"/>
          <w:highlight w:val="none"/>
          <w:u w:val="single"/>
          <w:lang w:val="en-US" w:eastAsia="zh-CN"/>
        </w:rPr>
        <w:t xml:space="preserve"> 9、10、11、12、13 </w:t>
      </w:r>
      <w:r>
        <w:rPr>
          <w:rFonts w:hint="eastAsia" w:ascii="仿宋_GB2312" w:hAnsi="仿宋_GB2312" w:eastAsia="仿宋_GB2312" w:cs="仿宋_GB2312"/>
          <w:color w:val="auto"/>
          <w:sz w:val="32"/>
          <w:szCs w:val="32"/>
          <w:highlight w:val="none"/>
          <w:u w:val="none"/>
          <w:lang w:val="en-US" w:eastAsia="zh-CN"/>
        </w:rPr>
        <w:t>号商铺，</w:t>
      </w:r>
      <w:r>
        <w:rPr>
          <w:rFonts w:hint="eastAsia" w:ascii="仿宋_GB2312" w:hAnsi="仿宋_GB2312" w:eastAsia="仿宋_GB2312" w:cs="仿宋_GB2312"/>
          <w:color w:val="auto"/>
          <w:sz w:val="32"/>
          <w:szCs w:val="32"/>
          <w:highlight w:val="none"/>
          <w:lang w:val="en-US" w:eastAsia="zh-CN"/>
        </w:rPr>
        <w:t>该商铺建筑面积为</w:t>
      </w:r>
      <w:r>
        <w:rPr>
          <w:rFonts w:hint="eastAsia" w:ascii="仿宋_GB2312" w:hAnsi="仿宋_GB2312" w:eastAsia="仿宋_GB2312" w:cs="仿宋_GB2312"/>
          <w:color w:val="auto"/>
          <w:sz w:val="32"/>
          <w:szCs w:val="32"/>
          <w:highlight w:val="none"/>
          <w:u w:val="single"/>
          <w:lang w:val="en-US" w:eastAsia="zh-CN"/>
        </w:rPr>
        <w:t xml:space="preserve">  93.25  </w:t>
      </w:r>
      <w:r>
        <w:rPr>
          <w:rFonts w:hint="eastAsia" w:ascii="仿宋_GB2312" w:hAnsi="仿宋_GB2312" w:eastAsia="仿宋_GB2312" w:cs="仿宋_GB2312"/>
          <w:color w:val="auto"/>
          <w:sz w:val="32"/>
          <w:szCs w:val="32"/>
          <w:highlight w:val="none"/>
          <w:lang w:val="en-US" w:eastAsia="zh-CN"/>
        </w:rPr>
        <w:t>平方米（最终面积以政府相关部门实测为准）。</w:t>
      </w:r>
    </w:p>
    <w:p w14:paraId="37C6E80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第二条 乙方经营</w:t>
      </w:r>
      <w:r>
        <w:rPr>
          <w:rFonts w:hint="eastAsia" w:ascii="黑体" w:hAnsi="黑体" w:eastAsia="黑体" w:cs="黑体"/>
          <w:b w:val="0"/>
          <w:bCs w:val="0"/>
          <w:color w:val="auto"/>
          <w:spacing w:val="12"/>
          <w:sz w:val="32"/>
          <w:szCs w:val="32"/>
          <w:highlight w:val="none"/>
          <w:lang w:eastAsia="zh-CN"/>
        </w:rPr>
        <w:t>范围和</w:t>
      </w:r>
      <w:r>
        <w:rPr>
          <w:rFonts w:hint="eastAsia" w:ascii="黑体" w:hAnsi="黑体" w:eastAsia="黑体" w:cs="黑体"/>
          <w:b w:val="0"/>
          <w:bCs w:val="0"/>
          <w:color w:val="auto"/>
          <w:spacing w:val="12"/>
          <w:sz w:val="32"/>
          <w:szCs w:val="32"/>
          <w:highlight w:val="none"/>
        </w:rPr>
        <w:t>性质的</w:t>
      </w:r>
      <w:r>
        <w:rPr>
          <w:rFonts w:hint="eastAsia" w:ascii="黑体" w:hAnsi="黑体" w:eastAsia="黑体" w:cs="黑体"/>
          <w:b w:val="0"/>
          <w:bCs w:val="0"/>
          <w:color w:val="auto"/>
          <w:spacing w:val="12"/>
          <w:sz w:val="32"/>
          <w:szCs w:val="32"/>
          <w:highlight w:val="none"/>
          <w:lang w:eastAsia="zh-CN"/>
        </w:rPr>
        <w:t>约</w:t>
      </w:r>
      <w:r>
        <w:rPr>
          <w:rFonts w:hint="eastAsia" w:ascii="黑体" w:hAnsi="黑体" w:eastAsia="黑体" w:cs="黑体"/>
          <w:b w:val="0"/>
          <w:bCs w:val="0"/>
          <w:color w:val="auto"/>
          <w:spacing w:val="12"/>
          <w:sz w:val="32"/>
          <w:szCs w:val="32"/>
          <w:highlight w:val="none"/>
        </w:rPr>
        <w:t>定</w:t>
      </w:r>
    </w:p>
    <w:p w14:paraId="68E6A741">
      <w:pPr>
        <w:keepNext w:val="0"/>
        <w:keepLines w:val="0"/>
        <w:pageBreakBefore w:val="0"/>
        <w:widowControl/>
        <w:kinsoku w:val="0"/>
        <w:wordWrap/>
        <w:overflowPunct/>
        <w:topLinePunct w:val="0"/>
        <w:autoSpaceDE w:val="0"/>
        <w:autoSpaceDN w:val="0"/>
        <w:bidi w:val="0"/>
        <w:adjustRightInd w:val="0"/>
        <w:snapToGrid w:val="0"/>
        <w:spacing w:line="540" w:lineRule="exac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乙方向甲方承诺，租赁该</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仅作为</w:t>
      </w:r>
      <w:r>
        <w:rPr>
          <w:rFonts w:hint="eastAsia" w:ascii="仿宋_GB2312" w:hAnsi="仿宋_GB2312" w:eastAsia="仿宋_GB2312" w:cs="仿宋_GB2312"/>
          <w:color w:val="auto"/>
          <w:spacing w:val="-42"/>
          <w:sz w:val="32"/>
          <w:szCs w:val="32"/>
          <w:highlight w:val="none"/>
          <w:u w:val="single"/>
        </w:rPr>
        <w:t xml:space="preserve"> </w:t>
      </w:r>
      <w:r>
        <w:rPr>
          <w:rFonts w:hint="eastAsia" w:ascii="仿宋_GB2312" w:hAnsi="仿宋_GB2312" w:eastAsia="仿宋_GB2312" w:cs="仿宋_GB2312"/>
          <w:color w:val="auto"/>
          <w:spacing w:val="-42"/>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u w:val="single" w:color="auto"/>
        </w:rPr>
        <w:t>商业</w:t>
      </w:r>
      <w:r>
        <w:rPr>
          <w:rFonts w:hint="eastAsia" w:ascii="仿宋_GB2312" w:hAnsi="仿宋_GB2312" w:eastAsia="仿宋_GB2312" w:cs="仿宋_GB2312"/>
          <w:color w:val="auto"/>
          <w:spacing w:val="-15"/>
          <w:sz w:val="32"/>
          <w:szCs w:val="32"/>
          <w:highlight w:val="none"/>
          <w:u w:val="single" w:color="auto"/>
          <w:lang w:val="en-US" w:eastAsia="zh-CN"/>
        </w:rPr>
        <w:t xml:space="preserve">  </w:t>
      </w:r>
      <w:r>
        <w:rPr>
          <w:rFonts w:hint="eastAsia" w:ascii="仿宋_GB2312" w:hAnsi="仿宋_GB2312" w:eastAsia="仿宋_GB2312" w:cs="仿宋_GB2312"/>
          <w:color w:val="auto"/>
          <w:spacing w:val="-86"/>
          <w:sz w:val="32"/>
          <w:szCs w:val="32"/>
          <w:highlight w:val="none"/>
        </w:rPr>
        <w:t xml:space="preserve"> </w:t>
      </w:r>
      <w:r>
        <w:rPr>
          <w:rFonts w:hint="eastAsia" w:ascii="仿宋_GB2312" w:hAnsi="仿宋_GB2312" w:eastAsia="仿宋_GB2312" w:cs="仿宋_GB2312"/>
          <w:color w:val="auto"/>
          <w:spacing w:val="-15"/>
          <w:sz w:val="32"/>
          <w:szCs w:val="32"/>
          <w:highlight w:val="none"/>
        </w:rPr>
        <w:t>使用</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22"/>
          <w:sz w:val="32"/>
          <w:szCs w:val="32"/>
          <w:highlight w:val="none"/>
        </w:rPr>
        <w:t>除双方另有约定外</w:t>
      </w:r>
      <w:r>
        <w:rPr>
          <w:rFonts w:hint="eastAsia" w:ascii="仿宋_GB2312" w:hAnsi="仿宋_GB2312" w:eastAsia="仿宋_GB2312" w:cs="仿宋_GB2312"/>
          <w:color w:val="auto"/>
          <w:spacing w:val="-15"/>
          <w:sz w:val="32"/>
          <w:szCs w:val="32"/>
          <w:highlight w:val="none"/>
        </w:rPr>
        <w:t>，乙方不得任意改变</w:t>
      </w:r>
      <w:r>
        <w:rPr>
          <w:rFonts w:hint="eastAsia" w:ascii="仿宋_GB2312" w:hAnsi="仿宋_GB2312" w:eastAsia="仿宋_GB2312" w:cs="仿宋_GB2312"/>
          <w:color w:val="auto"/>
          <w:spacing w:val="-15"/>
          <w:sz w:val="32"/>
          <w:szCs w:val="32"/>
          <w:highlight w:val="none"/>
          <w:lang w:eastAsia="zh-CN"/>
        </w:rPr>
        <w:t>商铺</w:t>
      </w:r>
      <w:r>
        <w:rPr>
          <w:rFonts w:hint="eastAsia" w:ascii="仿宋_GB2312" w:hAnsi="仿宋_GB2312" w:eastAsia="仿宋_GB2312" w:cs="仿宋_GB2312"/>
          <w:color w:val="auto"/>
          <w:spacing w:val="-15"/>
          <w:sz w:val="32"/>
          <w:szCs w:val="32"/>
          <w:highlight w:val="none"/>
        </w:rPr>
        <w:t>用途。</w:t>
      </w:r>
      <w:r>
        <w:rPr>
          <w:rFonts w:hint="eastAsia" w:ascii="仿宋_GB2312" w:hAnsi="仿宋_GB2312" w:eastAsia="仿宋_GB2312" w:cs="仿宋_GB2312"/>
          <w:color w:val="auto"/>
          <w:spacing w:val="-15"/>
          <w:sz w:val="32"/>
          <w:szCs w:val="32"/>
          <w:highlight w:val="none"/>
          <w:lang w:eastAsia="zh-CN"/>
        </w:rPr>
        <w:t>乙方不得将其承租的商铺用于从事餐饮业</w:t>
      </w:r>
      <w:r>
        <w:rPr>
          <w:rFonts w:hint="eastAsia" w:ascii="仿宋_GB2312" w:hAnsi="仿宋_GB2312" w:eastAsia="仿宋_GB2312" w:cs="仿宋_GB2312"/>
          <w:color w:val="auto"/>
          <w:spacing w:val="-15"/>
          <w:sz w:val="32"/>
          <w:szCs w:val="32"/>
          <w:highlight w:val="none"/>
          <w:lang w:val="en-US" w:eastAsia="zh-CN"/>
        </w:rPr>
        <w:t>(包括但不限于涉及明火操作、油烟排放、食品加工等经营业态）</w:t>
      </w:r>
      <w:r>
        <w:rPr>
          <w:rFonts w:hint="eastAsia" w:ascii="仿宋_GB2312" w:hAnsi="仿宋_GB2312" w:eastAsia="仿宋_GB2312" w:cs="仿宋_GB2312"/>
          <w:color w:val="auto"/>
          <w:spacing w:val="-15"/>
          <w:sz w:val="32"/>
          <w:szCs w:val="32"/>
          <w:highlight w:val="none"/>
          <w:lang w:eastAsia="zh-CN"/>
        </w:rPr>
        <w:t>，</w:t>
      </w:r>
      <w:r>
        <w:rPr>
          <w:rFonts w:hint="eastAsia" w:ascii="仿宋_GB2312" w:hAnsi="仿宋_GB2312" w:eastAsia="仿宋_GB2312" w:cs="仿宋_GB2312"/>
          <w:color w:val="auto"/>
          <w:spacing w:val="-15"/>
          <w:sz w:val="32"/>
          <w:szCs w:val="32"/>
          <w:highlight w:val="none"/>
          <w:lang w:val="en-US" w:eastAsia="zh-CN"/>
        </w:rPr>
        <w:t>更不能用于从事违法经营和犯罪活动</w:t>
      </w:r>
      <w:r>
        <w:rPr>
          <w:rFonts w:hint="eastAsia" w:ascii="仿宋_GB2312" w:hAnsi="仿宋_GB2312" w:eastAsia="仿宋_GB2312" w:cs="仿宋_GB2312"/>
          <w:color w:val="auto"/>
          <w:spacing w:val="-15"/>
          <w:sz w:val="32"/>
          <w:szCs w:val="32"/>
          <w:highlight w:val="none"/>
          <w:lang w:eastAsia="zh-CN"/>
        </w:rPr>
        <w:t>。如乙方违反用途约定，甲方有权立即解除合同并收回商铺，乙方已交押金及租金不予退还。</w:t>
      </w:r>
    </w:p>
    <w:p w14:paraId="6B757E03">
      <w:pPr>
        <w:keepNext w:val="0"/>
        <w:keepLines w:val="0"/>
        <w:pageBreakBefore w:val="0"/>
        <w:widowControl/>
        <w:kinsoku w:val="0"/>
        <w:wordWrap/>
        <w:overflowPunct/>
        <w:topLinePunct w:val="0"/>
        <w:autoSpaceDE w:val="0"/>
        <w:autoSpaceDN w:val="0"/>
        <w:bidi w:val="0"/>
        <w:adjustRightInd w:val="0"/>
        <w:snapToGrid w:val="0"/>
        <w:spacing w:line="540" w:lineRule="exact"/>
        <w:ind w:firstLine="580" w:firstLineChars="200"/>
        <w:textAlignment w:val="baseline"/>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rPr>
        <w:t>在合同期间，乙方自主经营，自负盈亏，承担各种有关税费。乙方必须依法经营，严格遵守国家有关法律、法规及政策，否则由此造成的影响、责任等与甲方无关。乙方的经营活动不得影响其他铺面和周边居民的生产生活，否则，甲方有权要求乙方限期整改，乙方逾期未整政的，甲方有权</w:t>
      </w:r>
      <w:r>
        <w:rPr>
          <w:rFonts w:hint="eastAsia" w:ascii="仿宋_GB2312" w:hAnsi="仿宋_GB2312" w:eastAsia="仿宋_GB2312" w:cs="仿宋_GB2312"/>
          <w:color w:val="auto"/>
          <w:spacing w:val="-15"/>
          <w:sz w:val="32"/>
          <w:szCs w:val="32"/>
          <w:highlight w:val="none"/>
          <w:lang w:eastAsia="zh-CN"/>
        </w:rPr>
        <w:t>单</w:t>
      </w:r>
      <w:r>
        <w:rPr>
          <w:rFonts w:hint="eastAsia" w:ascii="仿宋_GB2312" w:hAnsi="仿宋_GB2312" w:eastAsia="仿宋_GB2312" w:cs="仿宋_GB2312"/>
          <w:color w:val="auto"/>
          <w:spacing w:val="-15"/>
          <w:sz w:val="32"/>
          <w:szCs w:val="32"/>
          <w:highlight w:val="none"/>
        </w:rPr>
        <w:t>方解除合问并收</w:t>
      </w:r>
      <w:r>
        <w:rPr>
          <w:rFonts w:hint="eastAsia" w:ascii="仿宋_GB2312" w:hAnsi="仿宋_GB2312" w:eastAsia="仿宋_GB2312" w:cs="仿宋_GB2312"/>
          <w:color w:val="auto"/>
          <w:spacing w:val="-15"/>
          <w:sz w:val="32"/>
          <w:szCs w:val="32"/>
          <w:highlight w:val="none"/>
          <w:lang w:eastAsia="zh-CN"/>
        </w:rPr>
        <w:t>回商铺，</w:t>
      </w:r>
      <w:r>
        <w:rPr>
          <w:rFonts w:hint="eastAsia" w:ascii="仿宋_GB2312" w:hAnsi="仿宋_GB2312" w:eastAsia="仿宋_GB2312" w:cs="仿宋_GB2312"/>
          <w:color w:val="auto"/>
          <w:spacing w:val="-15"/>
          <w:sz w:val="32"/>
          <w:szCs w:val="32"/>
          <w:highlight w:val="none"/>
        </w:rPr>
        <w:t>乙方已交押金及租会不予退还</w:t>
      </w:r>
      <w:r>
        <w:rPr>
          <w:rFonts w:hint="eastAsia" w:ascii="仿宋_GB2312" w:hAnsi="仿宋_GB2312" w:eastAsia="仿宋_GB2312" w:cs="仿宋_GB2312"/>
          <w:color w:val="auto"/>
          <w:spacing w:val="-15"/>
          <w:sz w:val="32"/>
          <w:szCs w:val="32"/>
          <w:highlight w:val="none"/>
          <w:lang w:eastAsia="zh-CN"/>
        </w:rPr>
        <w:t>。</w:t>
      </w:r>
    </w:p>
    <w:p w14:paraId="53888BB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第三条 租赁期限</w:t>
      </w:r>
    </w:p>
    <w:p w14:paraId="4E8BF600">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租赁期限自</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23"/>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日至</w:t>
      </w:r>
      <w:r>
        <w:rPr>
          <w:rFonts w:hint="eastAsia" w:ascii="仿宋_GB2312" w:hAnsi="仿宋_GB2312" w:eastAsia="仿宋_GB2312" w:cs="仿宋_GB2312"/>
          <w:color w:val="auto"/>
          <w:spacing w:val="-67"/>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日止。</w:t>
      </w:r>
    </w:p>
    <w:p w14:paraId="6E20C09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第四条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、测量费和评估费</w:t>
      </w:r>
    </w:p>
    <w:p w14:paraId="1751AFA4">
      <w:pPr>
        <w:keepNext w:val="0"/>
        <w:keepLines w:val="0"/>
        <w:pageBreakBefore w:val="0"/>
        <w:widowControl/>
        <w:wordWrap/>
        <w:overflowPunct/>
        <w:topLinePunct w:val="0"/>
        <w:bidi w:val="0"/>
        <w:spacing w:line="540" w:lineRule="exact"/>
        <w:ind w:firstLine="604"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（一）租金为每月人民币  元整（￥  元），合同押金为三个月租金人民币  元整（￥  元）。</w:t>
      </w:r>
    </w:p>
    <w:p w14:paraId="63E5CE3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（二）租金按每年在上一年度租金基础上递增5%。</w:t>
      </w:r>
    </w:p>
    <w:p w14:paraId="3E2664E7">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（三）该商铺所产生的测量费、评估费由承租方承担，按承租方承租的商铺间数所占比例支付，分摊后金额取整至元。</w:t>
      </w:r>
    </w:p>
    <w:p w14:paraId="2FB053F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lang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 合同租金</w:t>
      </w:r>
      <w:r>
        <w:rPr>
          <w:rFonts w:hint="eastAsia" w:cs="黑体"/>
          <w:b w:val="0"/>
          <w:bCs w:val="0"/>
          <w:color w:val="auto"/>
          <w:spacing w:val="12"/>
          <w:sz w:val="32"/>
          <w:szCs w:val="32"/>
          <w:highlight w:val="none"/>
          <w:lang w:eastAsia="zh-CN"/>
        </w:rPr>
        <w:t>、</w:t>
      </w:r>
      <w:r>
        <w:rPr>
          <w:rFonts w:hint="eastAsia" w:ascii="黑体" w:hAnsi="黑体" w:eastAsia="黑体" w:cs="黑体"/>
          <w:b w:val="0"/>
          <w:bCs w:val="0"/>
          <w:color w:val="auto"/>
          <w:spacing w:val="12"/>
          <w:sz w:val="32"/>
          <w:szCs w:val="32"/>
          <w:highlight w:val="none"/>
        </w:rPr>
        <w:t>押金</w:t>
      </w:r>
      <w:r>
        <w:rPr>
          <w:rFonts w:hint="eastAsia" w:cs="黑体"/>
          <w:b w:val="0"/>
          <w:bCs w:val="0"/>
          <w:color w:val="auto"/>
          <w:spacing w:val="12"/>
          <w:sz w:val="32"/>
          <w:szCs w:val="32"/>
          <w:highlight w:val="none"/>
          <w:lang w:eastAsia="zh-CN"/>
        </w:rPr>
        <w:t>、</w:t>
      </w:r>
      <w:r>
        <w:rPr>
          <w:rFonts w:hint="eastAsia" w:cs="黑体"/>
          <w:b w:val="0"/>
          <w:bCs w:val="0"/>
          <w:color w:val="auto"/>
          <w:spacing w:val="12"/>
          <w:sz w:val="32"/>
          <w:szCs w:val="32"/>
          <w:highlight w:val="none"/>
          <w:lang w:val="en-US" w:eastAsia="zh-CN"/>
        </w:rPr>
        <w:t>测量费和评估费用</w:t>
      </w:r>
      <w:r>
        <w:rPr>
          <w:rFonts w:hint="eastAsia" w:ascii="黑体" w:hAnsi="黑体" w:eastAsia="黑体" w:cs="黑体"/>
          <w:b w:val="0"/>
          <w:bCs w:val="0"/>
          <w:color w:val="auto"/>
          <w:spacing w:val="12"/>
          <w:sz w:val="32"/>
          <w:szCs w:val="32"/>
          <w:highlight w:val="none"/>
        </w:rPr>
        <w:t>支付时间</w:t>
      </w:r>
      <w:r>
        <w:rPr>
          <w:rFonts w:hint="eastAsia" w:cs="黑体"/>
          <w:b w:val="0"/>
          <w:bCs w:val="0"/>
          <w:color w:val="auto"/>
          <w:spacing w:val="12"/>
          <w:sz w:val="32"/>
          <w:szCs w:val="32"/>
          <w:highlight w:val="none"/>
          <w:lang w:eastAsia="zh-CN"/>
        </w:rPr>
        <w:t>与方式</w:t>
      </w:r>
    </w:p>
    <w:p w14:paraId="40A4041B">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（一）租金按</w:t>
      </w:r>
      <w:r>
        <w:rPr>
          <w:rFonts w:hint="eastAsia" w:ascii="仿宋_GB2312" w:hAnsi="仿宋_GB2312" w:eastAsia="仿宋_GB2312" w:cs="仿宋_GB2312"/>
          <w:color w:val="000000" w:themeColor="text1"/>
          <w:spacing w:val="-52"/>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52"/>
          <w:sz w:val="32"/>
          <w:szCs w:val="32"/>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color="auto"/>
          <w:lang w:eastAsia="zh-CN"/>
          <w14:textFill>
            <w14:solidFill>
              <w14:schemeClr w14:val="tx1"/>
            </w14:solidFill>
          </w14:textFill>
        </w:rPr>
        <w:t>三个月</w:t>
      </w:r>
      <w:r>
        <w:rPr>
          <w:rFonts w:hint="eastAsia" w:ascii="仿宋_GB2312" w:hAnsi="仿宋_GB2312" w:eastAsia="仿宋_GB2312" w:cs="仿宋_GB2312"/>
          <w:color w:val="000000" w:themeColor="text1"/>
          <w:sz w:val="32"/>
          <w:szCs w:val="32"/>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预付。乙方应于本合同生效之日7个工作日内，乙方使用商铺前，向甲方预付三个月租金。以后，乙方于第三个月结束前20日内预缴下次的租金。</w:t>
      </w:r>
    </w:p>
    <w:p w14:paraId="23ADCEB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yellow"/>
          <w:lang w:val="en-US" w:eastAsia="zh-CN"/>
        </w:rPr>
      </w:pP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（二）乙方须一次性上缴合同押金（￥</w:t>
      </w:r>
      <w:r>
        <w:rPr>
          <w:rFonts w:hint="eastAsia" w:ascii="仿宋_GB2312" w:hAnsi="仿宋_GB2312" w:eastAsia="仿宋_GB2312" w:cs="仿宋_GB2312"/>
          <w:color w:val="000000" w:themeColor="text1"/>
          <w:spacing w:val="-9"/>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元）、三个月租金（￥</w:t>
      </w:r>
      <w:r>
        <w:rPr>
          <w:rFonts w:hint="eastAsia" w:ascii="仿宋_GB2312" w:hAnsi="仿宋_GB2312" w:eastAsia="仿宋_GB2312" w:cs="仿宋_GB2312"/>
          <w:color w:val="000000" w:themeColor="text1"/>
          <w:spacing w:val="-9"/>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元）、测量费</w:t>
      </w:r>
      <w:bookmarkStart w:id="0" w:name="_GoBack"/>
      <w:bookmarkEnd w:id="0"/>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FF0000"/>
          <w:spacing w:val="-9"/>
          <w:sz w:val="32"/>
          <w:szCs w:val="32"/>
          <w:highlight w:val="none"/>
          <w:u w:val="single"/>
          <w:lang w:val="en-US" w:eastAsia="zh-CN"/>
        </w:rPr>
        <w:t>1071</w:t>
      </w:r>
      <w:r>
        <w:rPr>
          <w:rFonts w:hint="eastAsia" w:ascii="仿宋_GB2312" w:hAnsi="仿宋_GB2312" w:eastAsia="仿宋_GB2312" w:cs="仿宋_GB2312"/>
          <w:color w:val="FF0000"/>
          <w:spacing w:val="-9"/>
          <w:sz w:val="32"/>
          <w:szCs w:val="32"/>
          <w:highlight w:val="none"/>
          <w:lang w:val="en-US" w:eastAsia="zh-CN"/>
        </w:rPr>
        <w:t>元）及评估费（￥</w:t>
      </w:r>
      <w:r>
        <w:rPr>
          <w:rFonts w:hint="eastAsia" w:ascii="仿宋_GB2312" w:hAnsi="仿宋_GB2312" w:eastAsia="仿宋_GB2312" w:cs="仿宋_GB2312"/>
          <w:color w:val="FF0000"/>
          <w:spacing w:val="-9"/>
          <w:sz w:val="32"/>
          <w:szCs w:val="32"/>
          <w:highlight w:val="none"/>
          <w:u w:val="single"/>
          <w:lang w:val="en-US" w:eastAsia="zh-CN"/>
        </w:rPr>
        <w:t xml:space="preserve">1071 </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押金一次性汇入东方市四更镇人民政府基本账户（开户行：海南农商银行东方四更支行，账号：211607001003500000134）；租金由东方市四更镇人民政府开具《海南省非税收入一般缴款书》后，由租户直接汇入国库；测量费一次性汇入海南辉远测绘科技服务有限公司账户（开户行：中国工商银行股份有限公司东方支行，账号：2201078109100079285）</w:t>
      </w:r>
      <w:r>
        <w:rPr>
          <w:rFonts w:hint="eastAsia" w:ascii="仿宋_GB2312" w:hAnsi="仿宋_GB2312" w:eastAsia="仿宋_GB2312" w:cs="仿宋_GB2312"/>
          <w:color w:val="000000" w:themeColor="text1"/>
          <w:spacing w:val="-9"/>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auto"/>
          <w:spacing w:val="-9"/>
          <w:sz w:val="32"/>
          <w:szCs w:val="32"/>
          <w:highlight w:val="none"/>
          <w:lang w:val="en-US" w:eastAsia="zh-CN"/>
        </w:rPr>
        <w:t>评估费一次性汇入海南明盛土地房地产资产评估有限公司账户（开户行：工商银行海口国贸行，账号：2201028109200424247）。</w:t>
      </w:r>
    </w:p>
    <w:p w14:paraId="04082EC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 交付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期限</w:t>
      </w:r>
    </w:p>
    <w:p w14:paraId="232E7B0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应于本合同约定的租赁期开始之日起，收到乙方全额首期租金、押金、测量费及评估费等其他应付费用后，将商铺交付给乙方，乙方收到甲方交付通知后3个工作日内未到场验收且未提出书面异议的，视为商铺交付合格，租赁期自视为交付之日起计算。商铺交付、验收、退还等流程需由双方签署书面交接清单，确保商铺设施、设备、钥匙等完整交接。乙方退还商铺时，应恢复原状并经甲方验收合格后方可退还押金。</w:t>
      </w:r>
    </w:p>
    <w:p w14:paraId="1C14474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 甲方对</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产权的承诺</w:t>
      </w:r>
    </w:p>
    <w:p w14:paraId="2770FB8D">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甲方保证该商铺交付后不得因产权纠纷而影响乙方正常使用商铺；除另有约定外，有关按揭、抵押债务或欠付税金，甲方均须在交付商铺前办妥或向乙方披露。商铺交付后的水电费、物业费、燃气费、水费等费用由乙方承担。</w:t>
      </w:r>
    </w:p>
    <w:p w14:paraId="4B8B531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八</w:t>
      </w:r>
      <w:r>
        <w:rPr>
          <w:rFonts w:hint="eastAsia" w:ascii="黑体" w:hAnsi="黑体" w:eastAsia="黑体" w:cs="黑体"/>
          <w:b w:val="0"/>
          <w:bCs w:val="0"/>
          <w:color w:val="auto"/>
          <w:spacing w:val="12"/>
          <w:sz w:val="32"/>
          <w:szCs w:val="32"/>
          <w:highlight w:val="none"/>
        </w:rPr>
        <w:t>条 维修养护责任</w:t>
      </w:r>
    </w:p>
    <w:p w14:paraId="2AE90F5B">
      <w:pPr>
        <w:keepNext w:val="0"/>
        <w:keepLines w:val="0"/>
        <w:pageBreakBefore w:val="0"/>
        <w:widowControl/>
        <w:kinsoku w:val="0"/>
        <w:wordWrap/>
        <w:overflowPunct/>
        <w:topLinePunct w:val="0"/>
        <w:autoSpaceDE w:val="0"/>
        <w:autoSpaceDN w:val="0"/>
        <w:bidi w:val="0"/>
        <w:adjustRightInd w:val="0"/>
        <w:snapToGrid w:val="0"/>
        <w:spacing w:line="54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（一）租赁期间，乙方应合理使用，不得故意损坏或擅自改变结构等，维修养护费用由乙方负责。因乙方使用不当导致商铺结构性损坏的，乙方应承担全部修复及赔偿责任。</w:t>
      </w:r>
    </w:p>
    <w:p w14:paraId="632D041E">
      <w:pPr>
        <w:keepNext w:val="0"/>
        <w:keepLines w:val="0"/>
        <w:pageBreakBefore w:val="0"/>
        <w:widowControl/>
        <w:kinsoku w:val="0"/>
        <w:wordWrap/>
        <w:overflowPunct/>
        <w:topLinePunct w:val="0"/>
        <w:autoSpaceDE w:val="0"/>
        <w:autoSpaceDN w:val="0"/>
        <w:bidi w:val="0"/>
        <w:adjustRightInd w:val="0"/>
        <w:snapToGrid w:val="0"/>
        <w:spacing w:line="540" w:lineRule="exact"/>
        <w:ind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（二）租赁期间，乙方必须具备充分的安全条件和措施，确保安全，在承包经营期间由乙方造成的安全事故，一切责任由乙方负责。</w:t>
      </w:r>
    </w:p>
    <w:p w14:paraId="47DABCC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九</w:t>
      </w:r>
      <w:r>
        <w:rPr>
          <w:rFonts w:hint="eastAsia" w:ascii="黑体" w:hAnsi="黑体" w:eastAsia="黑体" w:cs="黑体"/>
          <w:b w:val="0"/>
          <w:bCs w:val="0"/>
          <w:color w:val="auto"/>
          <w:spacing w:val="12"/>
          <w:sz w:val="32"/>
          <w:szCs w:val="32"/>
          <w:highlight w:val="none"/>
        </w:rPr>
        <w:t>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装修和改变</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结构的约定</w:t>
      </w:r>
    </w:p>
    <w:p w14:paraId="40E8AA05">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乙方装修商铺不得改变商铺内部结构、不得损坏商铺设施，如需改变商铺的内部结构和设置或装修对商铺结构有影响的设施，需事先征得甲方书面同意，相关费用由乙方承担。若乙方未在甲方书面通知后15日内恢复原状，甲方有权直接用押金抵扣修复费用。未经甲方书面同意，乙方擅自改变商铺结构和设施的，甲方有权要求乙方恢复原状，由此造成的损失由乙方承担。乙方</w:t>
      </w:r>
      <w:r>
        <w:rPr>
          <w:rFonts w:hint="eastAsia" w:ascii="仿宋_GB2312" w:hAnsi="仿宋_GB2312" w:eastAsia="仿宋_GB2312" w:cs="仿宋_GB2312"/>
          <w:color w:val="auto"/>
          <w:spacing w:val="-9"/>
          <w:sz w:val="32"/>
          <w:szCs w:val="32"/>
          <w:highlight w:val="none"/>
          <w:lang w:val="en-US" w:eastAsia="zh-Hans"/>
        </w:rPr>
        <w:t>不得损害甲方</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的主体结构，如有损害，则应按评估部门评估，并照价赔偿。</w:t>
      </w:r>
    </w:p>
    <w:p w14:paraId="64DF483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第十条 关于</w:t>
      </w:r>
      <w:r>
        <w:rPr>
          <w:rFonts w:hint="eastAsia" w:cs="黑体"/>
          <w:b w:val="0"/>
          <w:bCs w:val="0"/>
          <w:color w:val="auto"/>
          <w:spacing w:val="12"/>
          <w:sz w:val="32"/>
          <w:szCs w:val="32"/>
          <w:highlight w:val="none"/>
          <w:lang w:eastAsia="zh-CN"/>
        </w:rPr>
        <w:t>商铺</w:t>
      </w:r>
      <w:r>
        <w:rPr>
          <w:rFonts w:hint="eastAsia" w:ascii="黑体" w:hAnsi="黑体" w:eastAsia="黑体" w:cs="黑体"/>
          <w:b w:val="0"/>
          <w:bCs w:val="0"/>
          <w:color w:val="auto"/>
          <w:spacing w:val="12"/>
          <w:sz w:val="32"/>
          <w:szCs w:val="32"/>
          <w:highlight w:val="none"/>
        </w:rPr>
        <w:t>租赁期间的有关费用</w:t>
      </w:r>
    </w:p>
    <w:p w14:paraId="448958BA">
      <w:pPr>
        <w:pStyle w:val="5"/>
        <w:keepNext w:val="0"/>
        <w:keepLines w:val="0"/>
        <w:pageBreakBefore w:val="0"/>
        <w:widowControl/>
        <w:kinsoku w:val="0"/>
        <w:wordWrap/>
        <w:overflowPunct/>
        <w:topLinePunct w:val="0"/>
        <w:autoSpaceDE w:val="0"/>
        <w:autoSpaceDN w:val="0"/>
        <w:bidi w:val="0"/>
        <w:adjustRightInd w:val="0"/>
        <w:snapToGrid w:val="0"/>
        <w:spacing w:line="540" w:lineRule="exac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以下费用，除另有约定外，全部由乙方支付，并由乙方承担逾期付款的违约责任。如因乙方欠缴或逾期付款导致甲方承担责任的，甲方有权向乙方追缴，并有权直接从押金中扣除相关费用及损失，押金不足部分乙方应在收到通知后五日内补足。</w:t>
      </w:r>
    </w:p>
    <w:p w14:paraId="1820DFF7">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（一）租赁商铺发生的水电费、燃气费、物业管理费、收视费、互联网费等；</w:t>
      </w:r>
    </w:p>
    <w:p w14:paraId="7E6889C9">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（二）其他与商铺使用相关的税金或费用。</w:t>
      </w:r>
    </w:p>
    <w:p w14:paraId="161A030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  租赁期满</w:t>
      </w:r>
    </w:p>
    <w:p w14:paraId="0CAC2E8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满后，本合同即终止，届时乙方须将商铺退还甲方。出租人在商铺交接验收合格且乙方结清全部应付费用后15个工作日内，将扣除乙方应付未付的全部费用后的剩余押金无息退还至承租人指定银行账户；若押金不足以抵扣乙方应付费用的，甲方有权继续向 乙方追偿。租赁期满后，乙方在同等租金及其他承租条件下 享有优先承租权；如乙方要求继续租赁，则须在租赁期满前 2个月书面向甲方提出，若双方能达成一致意见则可签订续 租合同，否则视为乙方放弃优先承租权。</w:t>
      </w:r>
    </w:p>
    <w:p w14:paraId="397518F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二</w:t>
      </w:r>
      <w:r>
        <w:rPr>
          <w:rFonts w:hint="eastAsia" w:ascii="黑体" w:hAnsi="黑体" w:eastAsia="黑体" w:cs="黑体"/>
          <w:b w:val="0"/>
          <w:bCs w:val="0"/>
          <w:color w:val="auto"/>
          <w:spacing w:val="12"/>
          <w:sz w:val="32"/>
          <w:szCs w:val="32"/>
          <w:highlight w:val="none"/>
        </w:rPr>
        <w:t xml:space="preserve">条  </w:t>
      </w:r>
      <w:r>
        <w:rPr>
          <w:rFonts w:hint="eastAsia" w:cs="黑体"/>
          <w:b w:val="0"/>
          <w:bCs w:val="0"/>
          <w:color w:val="auto"/>
          <w:spacing w:val="12"/>
          <w:sz w:val="32"/>
          <w:szCs w:val="32"/>
          <w:highlight w:val="none"/>
          <w:lang w:val="en-US" w:eastAsia="zh-CN"/>
        </w:rPr>
        <w:t>乙方责任</w:t>
      </w:r>
    </w:p>
    <w:p w14:paraId="66A27637">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（一）乙方有下列情形之一的，甲方可单方面终止合同并收回租赁的铺面，因此给乙方带来的损失，甲方不承担赔偿责任，给甲方造成损失的，由乙方承担赔偿责任：</w:t>
      </w:r>
    </w:p>
    <w:p w14:paraId="3BEABF19">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1.未经甲方书面同意，擅自将承租的铺面转让或转借他人使用的；</w:t>
      </w:r>
    </w:p>
    <w:p w14:paraId="725141A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2.未经甲方书面同意，擅自拆改承租的铺面结构的；</w:t>
      </w:r>
    </w:p>
    <w:p w14:paraId="13346B22">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3.利用承租铺面进行违法犯罪活动；</w:t>
      </w:r>
    </w:p>
    <w:p w14:paraId="1DBD48D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4.故意损坏承租铺面的；</w:t>
      </w:r>
    </w:p>
    <w:p w14:paraId="072F3A79">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5.发生治安案 件或安全事故的；</w:t>
      </w:r>
    </w:p>
    <w:p w14:paraId="78F7650D">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6.擅自堆放保存危险物品（如炮竹、炸药等）及重型设备；</w:t>
      </w:r>
    </w:p>
    <w:p w14:paraId="29A9D4CB">
      <w:pPr>
        <w:keepNext w:val="0"/>
        <w:keepLines w:val="0"/>
        <w:pageBreakBefore w:val="0"/>
        <w:widowControl/>
        <w:wordWrap/>
        <w:overflowPunct/>
        <w:topLinePunct w:val="0"/>
        <w:bidi w:val="0"/>
        <w:spacing w:line="540" w:lineRule="exact"/>
        <w:ind w:firstLine="640"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将所承租的商铺用于从事餐饮业的。</w:t>
      </w:r>
    </w:p>
    <w:p w14:paraId="6F6FCC5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（二）</w:t>
      </w:r>
      <w:r>
        <w:rPr>
          <w:rFonts w:hint="eastAsia" w:ascii="仿宋_GB2312" w:hAnsi="仿宋_GB2312" w:eastAsia="仿宋_GB2312" w:cs="仿宋_GB2312"/>
          <w:color w:val="auto"/>
          <w:spacing w:val="-9"/>
          <w:sz w:val="32"/>
          <w:szCs w:val="32"/>
          <w:highlight w:val="none"/>
          <w:lang w:val="en-US" w:eastAsia="zh-Hans"/>
        </w:rPr>
        <w:t>乙方</w:t>
      </w:r>
      <w:r>
        <w:rPr>
          <w:rFonts w:hint="eastAsia" w:ascii="仿宋_GB2312" w:hAnsi="仿宋_GB2312" w:eastAsia="仿宋_GB2312" w:cs="仿宋_GB2312"/>
          <w:color w:val="auto"/>
          <w:spacing w:val="-9"/>
          <w:sz w:val="32"/>
          <w:szCs w:val="32"/>
          <w:highlight w:val="none"/>
          <w:lang w:val="en-US" w:eastAsia="zh-CN"/>
        </w:rPr>
        <w:t>在租赁期内</w:t>
      </w:r>
      <w:r>
        <w:rPr>
          <w:rFonts w:hint="eastAsia" w:ascii="仿宋_GB2312" w:hAnsi="仿宋_GB2312" w:eastAsia="仿宋_GB2312" w:cs="仿宋_GB2312"/>
          <w:color w:val="auto"/>
          <w:spacing w:val="-9"/>
          <w:sz w:val="32"/>
          <w:szCs w:val="32"/>
          <w:highlight w:val="none"/>
          <w:lang w:val="en-US" w:eastAsia="zh-Hans"/>
        </w:rPr>
        <w:t>应注意防火、防电、防盗，在承租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造成自身人员和他人损伤及财产损失的，由乙方承担全部责任，与甲方无关。</w:t>
      </w:r>
    </w:p>
    <w:p w14:paraId="3B7589FF">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合同期间乙方享有正常合法的自主经营权利。乙方保证在其承租的期限内进行的商业经营活动符合中国的法律、法规规定。乙方由于违法活动情形而被有关部门查封出租</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等处罚，与甲方无关，乙方自行承担，出现此情形时甲方有权单方面解除合同，收回出租商铺且不退还乙方所交的</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和已交付的租金，由此给甲方造成损失，乙方还应承担赔偿责任。</w:t>
      </w:r>
    </w:p>
    <w:p w14:paraId="3BF1C2A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三</w:t>
      </w:r>
      <w:r>
        <w:rPr>
          <w:rFonts w:hint="eastAsia" w:ascii="黑体" w:hAnsi="黑体" w:eastAsia="黑体" w:cs="黑体"/>
          <w:b w:val="0"/>
          <w:bCs w:val="0"/>
          <w:color w:val="auto"/>
          <w:spacing w:val="12"/>
          <w:sz w:val="32"/>
          <w:szCs w:val="32"/>
          <w:highlight w:val="none"/>
        </w:rPr>
        <w:t>条 提前终止合同</w:t>
      </w:r>
    </w:p>
    <w:p w14:paraId="79930B5F">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租赁期间，除出现本合同相关条款规定的情形外，任何一方提出终止合同，需提前1个月书面通知对方，经双方协商同意后可签订终止合同书，在终止合同签订前，本合同仍有效。</w:t>
      </w:r>
    </w:p>
    <w:p w14:paraId="6F277A68">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如因国家建设、政府行为、甲方规划调整、甲方改扩建、资产处置及不可抗力等因素，甲方必须提前终止合同时，应在合理的期限内书面通知乙方，并给予乙方必要的搬迁时间，乙方的经济损失甲方不予赔偿。</w:t>
      </w:r>
    </w:p>
    <w:p w14:paraId="45D627B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四</w:t>
      </w:r>
      <w:r>
        <w:rPr>
          <w:rFonts w:hint="eastAsia" w:ascii="黑体" w:hAnsi="黑体" w:eastAsia="黑体" w:cs="黑体"/>
          <w:b w:val="0"/>
          <w:bCs w:val="0"/>
          <w:color w:val="auto"/>
          <w:spacing w:val="12"/>
          <w:sz w:val="32"/>
          <w:szCs w:val="32"/>
          <w:highlight w:val="none"/>
        </w:rPr>
        <w:t>条 违约责任</w:t>
      </w:r>
    </w:p>
    <w:p w14:paraId="5DA4545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（一）甲方必须按约定将租赁商铺交付乙方使用，逾期交房的，乙方不支付逾期交房期间的租金，租金自甲方实际交房之日起据实计算。逾期交房，给乙方造成损失的，甲方给予赔偿。</w:t>
      </w:r>
    </w:p>
    <w:p w14:paraId="0F20EA5D">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（二）乙方必须按约定时间交付租金，逾期交租的，每逾期1日，乙方应向甲方支付逾期租金的0.5%的违约金。逾期30日的，甲方有权单方解除合同。</w:t>
      </w:r>
    </w:p>
    <w:p w14:paraId="47F69020">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（三）三)甲乙双方违反本合同的其他条款，按条款中的约定执行。条款中未约定的，给对方造成损失的，应承担赔偿责任。</w:t>
      </w:r>
    </w:p>
    <w:p w14:paraId="6F11EB39">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val="en-US" w:eastAsia="zh-Hans"/>
        </w:rPr>
        <w:t>在租赁期限内，乙方无故解除或者终止合同的，视为乙方违约，甲方有权不退还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w:t>
      </w:r>
    </w:p>
    <w:p w14:paraId="4F85E0DD">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Hans"/>
        </w:rPr>
      </w:pPr>
      <w:r>
        <w:rPr>
          <w:rFonts w:hint="eastAsia" w:ascii="仿宋_GB2312" w:hAnsi="仿宋_GB2312" w:eastAsia="仿宋_GB2312" w:cs="仿宋_GB2312"/>
          <w:color w:val="auto"/>
          <w:spacing w:val="-9"/>
          <w:sz w:val="32"/>
          <w:szCs w:val="32"/>
          <w:highlight w:val="none"/>
          <w:lang w:val="en-US" w:eastAsia="zh-CN"/>
        </w:rPr>
        <w:t>（五）</w:t>
      </w:r>
      <w:r>
        <w:rPr>
          <w:rFonts w:hint="eastAsia" w:ascii="仿宋_GB2312" w:hAnsi="仿宋_GB2312" w:eastAsia="仿宋_GB2312" w:cs="仿宋_GB2312"/>
          <w:color w:val="auto"/>
          <w:spacing w:val="-9"/>
          <w:sz w:val="32"/>
          <w:szCs w:val="32"/>
          <w:highlight w:val="none"/>
          <w:lang w:val="en-US" w:eastAsia="zh-Hans"/>
        </w:rPr>
        <w:t>乙方违反本合同约定，甲方行使单方面解除权的，甲方有权随时收回</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并不退还</w:t>
      </w:r>
      <w:r>
        <w:rPr>
          <w:rFonts w:hint="eastAsia" w:ascii="仿宋_GB2312" w:hAnsi="仿宋_GB2312" w:eastAsia="仿宋_GB2312" w:cs="仿宋_GB2312"/>
          <w:color w:val="auto"/>
          <w:spacing w:val="-9"/>
          <w:sz w:val="32"/>
          <w:szCs w:val="32"/>
          <w:highlight w:val="none"/>
          <w:lang w:val="en-US" w:eastAsia="zh-CN"/>
        </w:rPr>
        <w:t>押金</w:t>
      </w:r>
      <w:r>
        <w:rPr>
          <w:rFonts w:hint="eastAsia" w:ascii="仿宋_GB2312" w:hAnsi="仿宋_GB2312" w:eastAsia="仿宋_GB2312" w:cs="仿宋_GB2312"/>
          <w:color w:val="auto"/>
          <w:spacing w:val="-9"/>
          <w:sz w:val="32"/>
          <w:szCs w:val="32"/>
          <w:highlight w:val="none"/>
          <w:lang w:val="en-US" w:eastAsia="zh-Hans"/>
        </w:rPr>
        <w:t>和已付租金。乙方必须在收到甲方通知(包括书面、电话、短信等方式)七日内搬离可移动的设施等财产，退出</w:t>
      </w:r>
      <w:r>
        <w:rPr>
          <w:rFonts w:hint="eastAsia" w:ascii="仿宋_GB2312" w:hAnsi="仿宋_GB2312" w:eastAsia="仿宋_GB2312" w:cs="仿宋_GB2312"/>
          <w:color w:val="auto"/>
          <w:spacing w:val="-9"/>
          <w:sz w:val="32"/>
          <w:szCs w:val="32"/>
          <w:highlight w:val="none"/>
          <w:lang w:val="en-US" w:eastAsia="zh-CN"/>
        </w:rPr>
        <w:t>商铺</w:t>
      </w:r>
      <w:r>
        <w:rPr>
          <w:rFonts w:hint="eastAsia" w:ascii="仿宋_GB2312" w:hAnsi="仿宋_GB2312" w:eastAsia="仿宋_GB2312" w:cs="仿宋_GB2312"/>
          <w:color w:val="auto"/>
          <w:spacing w:val="-9"/>
          <w:sz w:val="32"/>
          <w:szCs w:val="32"/>
          <w:highlight w:val="none"/>
          <w:lang w:val="en-US" w:eastAsia="zh-Hans"/>
        </w:rPr>
        <w:t>。若乙方不能在七日内搬离的，视为乙方放弃该部分财产，甲方有权自行处置。</w:t>
      </w:r>
    </w:p>
    <w:p w14:paraId="4DC967ED">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4" w:firstLineChars="200"/>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（六）</w:t>
      </w:r>
      <w:r>
        <w:rPr>
          <w:rFonts w:hint="eastAsia" w:ascii="仿宋_GB2312" w:hAnsi="仿宋_GB2312" w:eastAsia="仿宋_GB2312" w:cs="仿宋_GB2312"/>
          <w:color w:val="auto"/>
          <w:spacing w:val="-9"/>
          <w:sz w:val="32"/>
          <w:szCs w:val="32"/>
          <w:highlight w:val="none"/>
          <w:lang w:val="en-US" w:eastAsia="zh-Hans"/>
        </w:rPr>
        <w:t>如因乙方违约导致甲方为了维权</w:t>
      </w:r>
      <w:r>
        <w:rPr>
          <w:rFonts w:hint="eastAsia" w:ascii="仿宋_GB2312" w:hAnsi="仿宋_GB2312" w:eastAsia="仿宋_GB2312" w:cs="仿宋_GB2312"/>
          <w:color w:val="auto"/>
          <w:spacing w:val="-9"/>
          <w:sz w:val="32"/>
          <w:szCs w:val="32"/>
          <w:highlight w:val="none"/>
          <w:lang w:val="en-US" w:eastAsia="zh-CN"/>
        </w:rPr>
        <w:t>提起诉讼</w:t>
      </w:r>
      <w:r>
        <w:rPr>
          <w:rFonts w:hint="eastAsia" w:ascii="仿宋_GB2312" w:hAnsi="仿宋_GB2312" w:eastAsia="仿宋_GB2312" w:cs="仿宋_GB2312"/>
          <w:color w:val="auto"/>
          <w:spacing w:val="-9"/>
          <w:sz w:val="32"/>
          <w:szCs w:val="32"/>
          <w:highlight w:val="none"/>
          <w:lang w:val="en-US" w:eastAsia="zh-Hans"/>
        </w:rPr>
        <w:t>所产生的的一切费用，包括但不限于诉讼费、律师费、差旅费、保全费、保全担保费、评估费、调查取证费等费用由乙方承担。</w:t>
      </w:r>
    </w:p>
    <w:p w14:paraId="2EF39F4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仿宋_GB2312" w:hAnsi="仿宋_GB2312" w:eastAsia="仿宋_GB2312" w:cs="仿宋_GB2312"/>
          <w:color w:val="auto"/>
          <w:spacing w:val="-8"/>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五</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 xml:space="preserve"> 因不可抗力原因导致该商铺毁损和造成损失的，双方互不承担责任。</w:t>
      </w:r>
    </w:p>
    <w:p w14:paraId="0F0D576D">
      <w:pPr>
        <w:pStyle w:val="5"/>
        <w:keepNext w:val="0"/>
        <w:keepLines w:val="0"/>
        <w:pageBreakBefore w:val="0"/>
        <w:widowControl/>
        <w:wordWrap/>
        <w:overflowPunct/>
        <w:topLinePunct w:val="0"/>
        <w:bidi w:val="0"/>
        <w:spacing w:before="101" w:line="540" w:lineRule="exact"/>
        <w:ind w:left="18" w:right="129" w:firstLine="639"/>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六</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5"/>
          <w:sz w:val="32"/>
          <w:szCs w:val="32"/>
          <w:highlight w:val="none"/>
        </w:rPr>
        <w:t xml:space="preserve"> </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9"/>
          <w:sz w:val="32"/>
          <w:szCs w:val="32"/>
          <w:highlight w:val="none"/>
          <w:lang w:val="en-US" w:eastAsia="zh-CN"/>
        </w:rPr>
        <w:t>本合同未尽事宜，由甲、乙双方另行约定，并签订补充协议。补充协议内容与本合同不一致的，以补充协议为准。本合同和补充协议中未规定的事项，遵照中华人民共和国有关法律、法规和政策执行。</w:t>
      </w:r>
    </w:p>
    <w:p w14:paraId="3A53C2C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pacing w:val="12"/>
          <w:sz w:val="32"/>
          <w:szCs w:val="32"/>
          <w:highlight w:val="none"/>
        </w:rPr>
        <w:t>第十</w:t>
      </w:r>
      <w:r>
        <w:rPr>
          <w:rFonts w:hint="eastAsia" w:cs="黑体"/>
          <w:b w:val="0"/>
          <w:bCs w:val="0"/>
          <w:color w:val="auto"/>
          <w:spacing w:val="12"/>
          <w:sz w:val="32"/>
          <w:szCs w:val="32"/>
          <w:highlight w:val="none"/>
          <w:lang w:eastAsia="zh-CN"/>
        </w:rPr>
        <w:t>七</w:t>
      </w:r>
      <w:r>
        <w:rPr>
          <w:rFonts w:hint="eastAsia" w:ascii="黑体" w:hAnsi="黑体" w:eastAsia="黑体" w:cs="黑体"/>
          <w:b w:val="0"/>
          <w:bCs w:val="0"/>
          <w:color w:val="auto"/>
          <w:spacing w:val="12"/>
          <w:sz w:val="32"/>
          <w:szCs w:val="32"/>
          <w:highlight w:val="none"/>
        </w:rPr>
        <w:t>条</w:t>
      </w:r>
      <w:r>
        <w:rPr>
          <w:rFonts w:hint="eastAsia" w:ascii="仿宋_GB2312" w:hAnsi="仿宋_GB2312" w:eastAsia="仿宋_GB2312" w:cs="仿宋_GB2312"/>
          <w:color w:val="auto"/>
          <w:spacing w:val="84"/>
          <w:sz w:val="32"/>
          <w:szCs w:val="32"/>
          <w:highlight w:val="none"/>
        </w:rPr>
        <w:t xml:space="preserve"> </w:t>
      </w:r>
      <w:r>
        <w:rPr>
          <w:rFonts w:hint="eastAsia" w:ascii="仿宋_GB2312" w:hAnsi="仿宋_GB2312" w:eastAsia="仿宋_GB2312" w:cs="仿宋_GB2312"/>
          <w:color w:val="auto"/>
          <w:spacing w:val="-9"/>
          <w:sz w:val="32"/>
          <w:szCs w:val="32"/>
          <w:highlight w:val="none"/>
          <w:lang w:val="en-US" w:eastAsia="zh-CN"/>
        </w:rPr>
        <w:t>本合同空格部分填写的文字或复印的文字与印刷文字具有同等效力。</w:t>
      </w:r>
    </w:p>
    <w:p w14:paraId="0EB5CBCA">
      <w:pPr>
        <w:keepNext w:val="0"/>
        <w:keepLines w:val="0"/>
        <w:pageBreakBefore w:val="0"/>
        <w:widowControl/>
        <w:suppressLineNumbers w:val="0"/>
        <w:kinsoku/>
        <w:wordWrap/>
        <w:overflowPunct/>
        <w:topLinePunct w:val="0"/>
        <w:autoSpaceDE/>
        <w:autoSpaceDN/>
        <w:bidi w:val="0"/>
        <w:adjustRightInd/>
        <w:snapToGrid/>
        <w:spacing w:line="540" w:lineRule="exact"/>
        <w:ind w:firstLine="688" w:firstLineChars="200"/>
        <w:jc w:val="left"/>
        <w:textAlignment w:val="baseline"/>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黑体" w:hAnsi="黑体" w:eastAsia="黑体" w:cs="黑体"/>
          <w:b w:val="0"/>
          <w:bCs w:val="0"/>
          <w:snapToGrid w:val="0"/>
          <w:color w:val="auto"/>
          <w:spacing w:val="12"/>
          <w:kern w:val="0"/>
          <w:sz w:val="32"/>
          <w:szCs w:val="32"/>
          <w:highlight w:val="none"/>
          <w:lang w:val="en-US" w:eastAsia="en-US" w:bidi="ar-SA"/>
        </w:rPr>
        <w:t>第十</w:t>
      </w:r>
      <w:r>
        <w:rPr>
          <w:rFonts w:hint="eastAsia" w:ascii="黑体" w:hAnsi="黑体" w:eastAsia="黑体" w:cs="黑体"/>
          <w:b w:val="0"/>
          <w:bCs w:val="0"/>
          <w:snapToGrid w:val="0"/>
          <w:color w:val="auto"/>
          <w:spacing w:val="12"/>
          <w:kern w:val="0"/>
          <w:sz w:val="32"/>
          <w:szCs w:val="32"/>
          <w:highlight w:val="none"/>
          <w:lang w:val="en-US" w:eastAsia="zh-CN" w:bidi="ar-SA"/>
        </w:rPr>
        <w:t>八</w:t>
      </w:r>
      <w:r>
        <w:rPr>
          <w:rFonts w:hint="eastAsia" w:ascii="黑体" w:hAnsi="黑体" w:eastAsia="黑体" w:cs="黑体"/>
          <w:b w:val="0"/>
          <w:bCs w:val="0"/>
          <w:snapToGrid w:val="0"/>
          <w:color w:val="auto"/>
          <w:spacing w:val="12"/>
          <w:kern w:val="0"/>
          <w:sz w:val="32"/>
          <w:szCs w:val="32"/>
          <w:highlight w:val="none"/>
          <w:lang w:val="en-US" w:eastAsia="en-US" w:bidi="ar-SA"/>
        </w:rPr>
        <w:t>条</w:t>
      </w:r>
      <w:r>
        <w:rPr>
          <w:rFonts w:hint="eastAsia" w:ascii="仿宋_GB2312" w:hAnsi="仿宋_GB2312" w:eastAsia="仿宋_GB2312" w:cs="仿宋_GB2312"/>
          <w:color w:val="auto"/>
          <w:spacing w:val="76"/>
          <w:sz w:val="32"/>
          <w:szCs w:val="32"/>
          <w:highlight w:val="none"/>
        </w:rPr>
        <w:t xml:space="preserve"> </w:t>
      </w:r>
      <w:r>
        <w:rPr>
          <w:rFonts w:hint="eastAsia" w:ascii="仿宋_GB2312" w:hAnsi="仿宋_GB2312" w:eastAsia="仿宋_GB2312" w:cs="仿宋_GB2312"/>
          <w:snapToGrid w:val="0"/>
          <w:color w:val="auto"/>
          <w:spacing w:val="-9"/>
          <w:kern w:val="0"/>
          <w:sz w:val="32"/>
          <w:szCs w:val="32"/>
          <w:highlight w:val="none"/>
          <w:lang w:val="en-US" w:eastAsia="zh-CN" w:bidi="ar-SA"/>
        </w:rPr>
        <w:t>合同执行过程中发生的任何争议，双方应友好协商解决；如协商解决不成的，任何一方均可向商铺所在地的人民法院提起诉讼。</w:t>
      </w:r>
    </w:p>
    <w:p w14:paraId="53E2CFD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w:t>
      </w:r>
      <w:r>
        <w:rPr>
          <w:rFonts w:hint="eastAsia" w:cs="黑体"/>
          <w:b w:val="0"/>
          <w:bCs w:val="0"/>
          <w:color w:val="auto"/>
          <w:spacing w:val="12"/>
          <w:sz w:val="32"/>
          <w:szCs w:val="32"/>
          <w:highlight w:val="none"/>
          <w:lang w:eastAsia="zh-CN"/>
        </w:rPr>
        <w:t>十九</w:t>
      </w:r>
      <w:r>
        <w:rPr>
          <w:rFonts w:hint="eastAsia" w:ascii="黑体" w:hAnsi="黑体" w:eastAsia="黑体" w:cs="黑体"/>
          <w:b w:val="0"/>
          <w:bCs w:val="0"/>
          <w:color w:val="auto"/>
          <w:spacing w:val="12"/>
          <w:sz w:val="32"/>
          <w:szCs w:val="32"/>
          <w:highlight w:val="none"/>
        </w:rPr>
        <w:t>条  特别约定</w:t>
      </w:r>
    </w:p>
    <w:p w14:paraId="471A2E2F">
      <w:pPr>
        <w:keepNext w:val="0"/>
        <w:keepLines w:val="0"/>
        <w:pageBreakBefore w:val="0"/>
        <w:widowControl/>
        <w:suppressLineNumbers w:val="0"/>
        <w:kinsoku/>
        <w:wordWrap/>
        <w:overflowPunct/>
        <w:topLinePunct w:val="0"/>
        <w:autoSpaceDE/>
        <w:autoSpaceDN/>
        <w:bidi w:val="0"/>
        <w:adjustRightInd/>
        <w:snapToGrid/>
        <w:spacing w:line="54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原承租人具有优先租赁权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087A36A8">
      <w:pPr>
        <w:keepNext w:val="0"/>
        <w:keepLines w:val="0"/>
        <w:pageBreakBefore w:val="0"/>
        <w:widowControl/>
        <w:suppressLineNumbers w:val="0"/>
        <w:kinsoku/>
        <w:wordWrap/>
        <w:overflowPunct/>
        <w:topLinePunct w:val="0"/>
        <w:autoSpaceDE/>
        <w:autoSpaceDN/>
        <w:bidi w:val="0"/>
        <w:adjustRightInd/>
        <w:snapToGrid/>
        <w:spacing w:line="540" w:lineRule="exact"/>
        <w:ind w:firstLine="604" w:firstLineChars="200"/>
        <w:jc w:val="left"/>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w:t>
      </w:r>
      <w:r>
        <w:rPr>
          <w:rFonts w:hint="eastAsia" w:ascii="仿宋_GB2312" w:hAnsi="仿宋_GB2312" w:eastAsia="仿宋_GB2312" w:cs="仿宋_GB2312"/>
          <w:snapToGrid w:val="0"/>
          <w:color w:val="auto"/>
          <w:spacing w:val="-9"/>
          <w:kern w:val="0"/>
          <w:sz w:val="32"/>
          <w:szCs w:val="32"/>
          <w:highlight w:val="none"/>
          <w:u w:val="single"/>
          <w:lang w:val="en-US" w:eastAsia="zh-CN" w:bidi="ar-SA"/>
        </w:rPr>
        <w:t xml:space="preserve">               无                    </w:t>
      </w:r>
      <w:r>
        <w:rPr>
          <w:rFonts w:hint="eastAsia" w:ascii="仿宋_GB2312" w:hAnsi="仿宋_GB2312" w:eastAsia="仿宋_GB2312" w:cs="仿宋_GB2312"/>
          <w:snapToGrid w:val="0"/>
          <w:color w:val="auto"/>
          <w:spacing w:val="-9"/>
          <w:kern w:val="0"/>
          <w:sz w:val="32"/>
          <w:szCs w:val="32"/>
          <w:highlight w:val="none"/>
          <w:lang w:val="en-US" w:eastAsia="zh-CN" w:bidi="ar-SA"/>
        </w:rPr>
        <w:t>。</w:t>
      </w:r>
    </w:p>
    <w:p w14:paraId="5C4EF6A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88" w:firstLineChars="200"/>
        <w:textAlignment w:val="baseline"/>
        <w:rPr>
          <w:rFonts w:hint="eastAsia" w:ascii="黑体" w:hAnsi="黑体" w:eastAsia="黑体" w:cs="黑体"/>
          <w:b w:val="0"/>
          <w:bCs w:val="0"/>
          <w:color w:val="auto"/>
          <w:spacing w:val="12"/>
          <w:sz w:val="32"/>
          <w:szCs w:val="32"/>
          <w:highlight w:val="none"/>
        </w:rPr>
      </w:pPr>
      <w:r>
        <w:rPr>
          <w:rFonts w:hint="eastAsia" w:ascii="黑体" w:hAnsi="黑体" w:eastAsia="黑体" w:cs="黑体"/>
          <w:b w:val="0"/>
          <w:bCs w:val="0"/>
          <w:color w:val="auto"/>
          <w:spacing w:val="12"/>
          <w:sz w:val="32"/>
          <w:szCs w:val="32"/>
          <w:highlight w:val="none"/>
        </w:rPr>
        <w:t>第二十条 合同生效</w:t>
      </w:r>
    </w:p>
    <w:p w14:paraId="153FCC7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default"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本合同经双方签字盖章后生效。</w:t>
      </w:r>
    </w:p>
    <w:p w14:paraId="2F496025">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88" w:firstLineChars="200"/>
        <w:textAlignment w:val="baseline"/>
        <w:rPr>
          <w:rFonts w:hint="eastAsia" w:ascii="黑体" w:hAnsi="黑体" w:eastAsia="黑体" w:cs="黑体"/>
          <w:color w:val="auto"/>
          <w:spacing w:val="78"/>
          <w:sz w:val="32"/>
          <w:szCs w:val="32"/>
          <w:highlight w:val="none"/>
          <w:lang w:val="en-US" w:eastAsia="zh-CN"/>
        </w:rPr>
      </w:pPr>
      <w:r>
        <w:rPr>
          <w:rFonts w:hint="eastAsia" w:ascii="黑体" w:hAnsi="黑体" w:eastAsia="黑体" w:cs="黑体"/>
          <w:b w:val="0"/>
          <w:bCs w:val="0"/>
          <w:color w:val="auto"/>
          <w:spacing w:val="12"/>
          <w:sz w:val="32"/>
          <w:szCs w:val="32"/>
          <w:highlight w:val="none"/>
        </w:rPr>
        <w:t>第二十</w:t>
      </w:r>
      <w:r>
        <w:rPr>
          <w:rFonts w:hint="eastAsia" w:cs="黑体"/>
          <w:b w:val="0"/>
          <w:bCs w:val="0"/>
          <w:color w:val="auto"/>
          <w:spacing w:val="12"/>
          <w:sz w:val="32"/>
          <w:szCs w:val="32"/>
          <w:highlight w:val="none"/>
          <w:lang w:eastAsia="zh-CN"/>
        </w:rPr>
        <w:t>一</w:t>
      </w:r>
      <w:r>
        <w:rPr>
          <w:rFonts w:hint="eastAsia" w:ascii="黑体" w:hAnsi="黑体" w:eastAsia="黑体" w:cs="黑体"/>
          <w:b w:val="0"/>
          <w:bCs w:val="0"/>
          <w:color w:val="auto"/>
          <w:spacing w:val="12"/>
          <w:sz w:val="32"/>
          <w:szCs w:val="32"/>
          <w:highlight w:val="none"/>
        </w:rPr>
        <w:t>条</w:t>
      </w:r>
      <w:r>
        <w:rPr>
          <w:rFonts w:hint="eastAsia" w:ascii="黑体" w:hAnsi="黑体" w:eastAsia="黑体" w:cs="黑体"/>
          <w:color w:val="auto"/>
          <w:spacing w:val="78"/>
          <w:sz w:val="32"/>
          <w:szCs w:val="32"/>
          <w:highlight w:val="none"/>
        </w:rPr>
        <w:t xml:space="preserve"> </w:t>
      </w:r>
      <w:r>
        <w:rPr>
          <w:rFonts w:hint="eastAsia" w:ascii="黑体" w:hAnsi="黑体" w:eastAsia="黑体" w:cs="黑体"/>
          <w:color w:val="auto"/>
          <w:spacing w:val="78"/>
          <w:sz w:val="32"/>
          <w:szCs w:val="32"/>
          <w:highlight w:val="none"/>
          <w:lang w:val="en-US" w:eastAsia="zh-CN"/>
        </w:rPr>
        <w:t>其他</w:t>
      </w:r>
    </w:p>
    <w:p w14:paraId="4A4C275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（一）本合同一式肆份，甲、乙双方各执贰份，均具有同等效力。</w:t>
      </w:r>
    </w:p>
    <w:p w14:paraId="0708E67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04" w:firstLineChars="200"/>
        <w:textAlignment w:val="baseline"/>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二）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12F12BCB">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highlight w:val="none"/>
        </w:rPr>
      </w:pPr>
    </w:p>
    <w:p w14:paraId="568B8C54">
      <w:pPr>
        <w:pStyle w:val="2"/>
        <w:rPr>
          <w:rFonts w:hint="eastAsia"/>
          <w:highlight w:val="none"/>
        </w:rPr>
      </w:pPr>
    </w:p>
    <w:p w14:paraId="59725139">
      <w:pPr>
        <w:rPr>
          <w:rFonts w:hint="eastAsia"/>
          <w:highlight w:val="none"/>
        </w:rPr>
      </w:pPr>
    </w:p>
    <w:p w14:paraId="37264A5B">
      <w:pPr>
        <w:pStyle w:val="2"/>
        <w:rPr>
          <w:rFonts w:hint="eastAsia"/>
          <w:highlight w:val="none"/>
        </w:rPr>
      </w:pPr>
    </w:p>
    <w:p w14:paraId="760EE46E">
      <w:pPr>
        <w:rPr>
          <w:rFonts w:hint="eastAsia"/>
        </w:rPr>
      </w:pPr>
    </w:p>
    <w:p w14:paraId="07E6044D">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u w:val="singl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甲方（盖章）：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5B86FEBC">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default"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法定代表人（盖章）：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p>
    <w:p w14:paraId="3FD31C01">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p w14:paraId="0EECD561">
      <w:pPr>
        <w:pStyle w:val="2"/>
        <w:keepNext w:val="0"/>
        <w:keepLines w:val="0"/>
        <w:pageBreakBefore w:val="0"/>
        <w:widowControl/>
        <w:wordWrap/>
        <w:overflowPunct/>
        <w:topLinePunct w:val="0"/>
        <w:bidi w:val="0"/>
        <w:spacing w:line="540" w:lineRule="exact"/>
        <w:ind w:left="0" w:leftChars="0" w:firstLine="0" w:firstLineChars="0"/>
        <w:textAlignment w:val="baseline"/>
        <w:rPr>
          <w:rFonts w:hint="eastAsia"/>
          <w:highlight w:val="none"/>
          <w:lang w:val="en-US" w:eastAsia="zh-CN"/>
        </w:rPr>
      </w:pPr>
    </w:p>
    <w:p w14:paraId="7FF20D6B">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rPr>
          <w:rFonts w:hint="eastAsia" w:ascii="仿宋_GB2312" w:hAnsi="仿宋_GB2312" w:eastAsia="仿宋_GB2312" w:cs="仿宋_GB2312"/>
          <w:snapToGrid w:val="0"/>
          <w:color w:val="auto"/>
          <w:spacing w:val="-8"/>
          <w:kern w:val="0"/>
          <w:sz w:val="32"/>
          <w:szCs w:val="32"/>
          <w:highlight w:val="none"/>
          <w:lang w:val="en-US" w:eastAsia="zh-CN" w:bidi="ar-SA"/>
        </w:rPr>
      </w:pPr>
      <w:r>
        <w:rPr>
          <w:rFonts w:hint="eastAsia" w:ascii="仿宋_GB2312" w:hAnsi="仿宋_GB2312" w:eastAsia="仿宋_GB2312" w:cs="仿宋_GB2312"/>
          <w:snapToGrid w:val="0"/>
          <w:color w:val="auto"/>
          <w:spacing w:val="-8"/>
          <w:kern w:val="0"/>
          <w:sz w:val="32"/>
          <w:szCs w:val="32"/>
          <w:highlight w:val="none"/>
          <w:lang w:val="en-US" w:eastAsia="zh-CN" w:bidi="ar-SA"/>
        </w:rPr>
        <w:t>乙方或授权人（签字或签章）：</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 xml:space="preserve"> </w:t>
      </w:r>
    </w:p>
    <w:p w14:paraId="58274C90">
      <w:pPr>
        <w:keepNext w:val="0"/>
        <w:keepLines w:val="0"/>
        <w:pageBreakBefore w:val="0"/>
        <w:widowControl/>
        <w:kinsoku w:val="0"/>
        <w:wordWrap/>
        <w:overflowPunct/>
        <w:topLinePunct w:val="0"/>
        <w:autoSpaceDE w:val="0"/>
        <w:autoSpaceDN w:val="0"/>
        <w:bidi w:val="0"/>
        <w:adjustRightInd w:val="0"/>
        <w:snapToGrid w:val="0"/>
        <w:spacing w:line="540" w:lineRule="exact"/>
        <w:ind w:firstLine="608" w:firstLineChars="200"/>
        <w:textAlignment w:val="baseline"/>
      </w:pPr>
      <w:r>
        <w:rPr>
          <w:rFonts w:hint="eastAsia" w:ascii="仿宋_GB2312" w:hAnsi="仿宋_GB2312" w:eastAsia="仿宋_GB2312" w:cs="仿宋_GB2312"/>
          <w:snapToGrid w:val="0"/>
          <w:color w:val="auto"/>
          <w:spacing w:val="-8"/>
          <w:kern w:val="0"/>
          <w:sz w:val="32"/>
          <w:szCs w:val="32"/>
          <w:highlight w:val="none"/>
          <w:lang w:val="en-US" w:eastAsia="zh-CN" w:bidi="ar-SA"/>
        </w:rPr>
        <w:t>日期：</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年</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月</w:t>
      </w:r>
      <w:r>
        <w:rPr>
          <w:rFonts w:hint="eastAsia" w:ascii="仿宋_GB2312" w:hAnsi="仿宋_GB2312" w:eastAsia="仿宋_GB2312" w:cs="仿宋_GB2312"/>
          <w:snapToGrid w:val="0"/>
          <w:color w:val="auto"/>
          <w:spacing w:val="-8"/>
          <w:kern w:val="0"/>
          <w:sz w:val="32"/>
          <w:szCs w:val="32"/>
          <w:highlight w:val="none"/>
          <w:u w:val="single"/>
          <w:lang w:val="en-US" w:eastAsia="zh-CN" w:bidi="ar-SA"/>
        </w:rPr>
        <w:t xml:space="preserve">       </w:t>
      </w:r>
      <w:r>
        <w:rPr>
          <w:rFonts w:hint="eastAsia" w:ascii="仿宋_GB2312" w:hAnsi="仿宋_GB2312" w:eastAsia="仿宋_GB2312" w:cs="仿宋_GB2312"/>
          <w:snapToGrid w:val="0"/>
          <w:color w:val="auto"/>
          <w:spacing w:val="-8"/>
          <w:kern w:val="0"/>
          <w:sz w:val="32"/>
          <w:szCs w:val="32"/>
          <w:highlight w:val="none"/>
          <w:lang w:val="en-US" w:eastAsia="zh-CN" w:bidi="ar-SA"/>
        </w:rPr>
        <w:t>日</w:t>
      </w:r>
    </w:p>
    <w:sectPr>
      <w:footerReference r:id="rId5" w:type="default"/>
      <w:pgSz w:w="11910" w:h="168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5F2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WE0NWI3OTY0NzIwZGNiMmQ4Y2NmNWZhNTM5N2JhZWYifQ=="/>
  </w:docVars>
  <w:rsids>
    <w:rsidRoot w:val="00000000"/>
    <w:rsid w:val="00237A6E"/>
    <w:rsid w:val="010A29DC"/>
    <w:rsid w:val="014557C2"/>
    <w:rsid w:val="015D2443"/>
    <w:rsid w:val="01AA6B28"/>
    <w:rsid w:val="01FA65AD"/>
    <w:rsid w:val="0215034E"/>
    <w:rsid w:val="02545053"/>
    <w:rsid w:val="02A816E8"/>
    <w:rsid w:val="02B56978"/>
    <w:rsid w:val="03526DC6"/>
    <w:rsid w:val="03A34A22"/>
    <w:rsid w:val="03F577A7"/>
    <w:rsid w:val="03F67248"/>
    <w:rsid w:val="043E39FB"/>
    <w:rsid w:val="047C7D3D"/>
    <w:rsid w:val="05C865EE"/>
    <w:rsid w:val="05CC2AB2"/>
    <w:rsid w:val="05FC472C"/>
    <w:rsid w:val="060261CB"/>
    <w:rsid w:val="062C51A3"/>
    <w:rsid w:val="06FD1EB0"/>
    <w:rsid w:val="078A14FF"/>
    <w:rsid w:val="07BF263B"/>
    <w:rsid w:val="09247DCC"/>
    <w:rsid w:val="09DD70BF"/>
    <w:rsid w:val="0A271319"/>
    <w:rsid w:val="0A433449"/>
    <w:rsid w:val="0A656EBD"/>
    <w:rsid w:val="0A73514E"/>
    <w:rsid w:val="0A7F6683"/>
    <w:rsid w:val="0B057D70"/>
    <w:rsid w:val="0BA80E28"/>
    <w:rsid w:val="0D6618C8"/>
    <w:rsid w:val="0DC67C8B"/>
    <w:rsid w:val="0F6E05DA"/>
    <w:rsid w:val="0FBC30F4"/>
    <w:rsid w:val="0FE73EE9"/>
    <w:rsid w:val="0FED3546"/>
    <w:rsid w:val="1045758D"/>
    <w:rsid w:val="107F4121"/>
    <w:rsid w:val="10A30A13"/>
    <w:rsid w:val="12FE287C"/>
    <w:rsid w:val="133B07D3"/>
    <w:rsid w:val="138F28CD"/>
    <w:rsid w:val="13E744B7"/>
    <w:rsid w:val="13EB251F"/>
    <w:rsid w:val="143A53BF"/>
    <w:rsid w:val="159863B1"/>
    <w:rsid w:val="175E7186"/>
    <w:rsid w:val="17D54AE8"/>
    <w:rsid w:val="17E86A50"/>
    <w:rsid w:val="17FB2C27"/>
    <w:rsid w:val="18386E68"/>
    <w:rsid w:val="18637908"/>
    <w:rsid w:val="18787DD4"/>
    <w:rsid w:val="19762565"/>
    <w:rsid w:val="19F353A6"/>
    <w:rsid w:val="1A4B4268"/>
    <w:rsid w:val="1ADC6D40"/>
    <w:rsid w:val="1AE304FA"/>
    <w:rsid w:val="1BEF4851"/>
    <w:rsid w:val="1BFB1448"/>
    <w:rsid w:val="1C623275"/>
    <w:rsid w:val="1CBC1555"/>
    <w:rsid w:val="1D1C78C7"/>
    <w:rsid w:val="1D5F5A06"/>
    <w:rsid w:val="1DAF4298"/>
    <w:rsid w:val="1DB160B1"/>
    <w:rsid w:val="1E4854EE"/>
    <w:rsid w:val="1E884FC4"/>
    <w:rsid w:val="1F614596"/>
    <w:rsid w:val="1F7C7071"/>
    <w:rsid w:val="1FC81641"/>
    <w:rsid w:val="20686458"/>
    <w:rsid w:val="20E6468A"/>
    <w:rsid w:val="20ED07AA"/>
    <w:rsid w:val="21436ABA"/>
    <w:rsid w:val="21D841C9"/>
    <w:rsid w:val="24392B0D"/>
    <w:rsid w:val="25061E11"/>
    <w:rsid w:val="25FF38E2"/>
    <w:rsid w:val="2652645D"/>
    <w:rsid w:val="26750F70"/>
    <w:rsid w:val="26832765"/>
    <w:rsid w:val="276860FF"/>
    <w:rsid w:val="27806CA5"/>
    <w:rsid w:val="27EB7149"/>
    <w:rsid w:val="28897B1C"/>
    <w:rsid w:val="28C606E7"/>
    <w:rsid w:val="28D0205D"/>
    <w:rsid w:val="2A6C4C70"/>
    <w:rsid w:val="2A956075"/>
    <w:rsid w:val="2AD46A97"/>
    <w:rsid w:val="2B023CC1"/>
    <w:rsid w:val="2C42323E"/>
    <w:rsid w:val="2C506C46"/>
    <w:rsid w:val="2CCF0CEE"/>
    <w:rsid w:val="2D8F379E"/>
    <w:rsid w:val="2DA52FC1"/>
    <w:rsid w:val="2DD92044"/>
    <w:rsid w:val="2E840E29"/>
    <w:rsid w:val="2F04528E"/>
    <w:rsid w:val="2F0534EC"/>
    <w:rsid w:val="2F065CE2"/>
    <w:rsid w:val="2F4B0E1C"/>
    <w:rsid w:val="30847D0B"/>
    <w:rsid w:val="310111F2"/>
    <w:rsid w:val="31304A20"/>
    <w:rsid w:val="31BB2817"/>
    <w:rsid w:val="31C0661C"/>
    <w:rsid w:val="32C20302"/>
    <w:rsid w:val="3390201E"/>
    <w:rsid w:val="33E136A3"/>
    <w:rsid w:val="342866FA"/>
    <w:rsid w:val="348D0A1D"/>
    <w:rsid w:val="34E063E9"/>
    <w:rsid w:val="3543497E"/>
    <w:rsid w:val="354D14DB"/>
    <w:rsid w:val="36086929"/>
    <w:rsid w:val="365612FD"/>
    <w:rsid w:val="36E94228"/>
    <w:rsid w:val="375243F7"/>
    <w:rsid w:val="38397128"/>
    <w:rsid w:val="385C3F53"/>
    <w:rsid w:val="3870241E"/>
    <w:rsid w:val="38C14EE9"/>
    <w:rsid w:val="39FC21BB"/>
    <w:rsid w:val="3AA10568"/>
    <w:rsid w:val="3AEB3883"/>
    <w:rsid w:val="3B036F3E"/>
    <w:rsid w:val="3B2C2F74"/>
    <w:rsid w:val="3BA448B8"/>
    <w:rsid w:val="3BB4003F"/>
    <w:rsid w:val="3BC15548"/>
    <w:rsid w:val="3C52023A"/>
    <w:rsid w:val="3D0E6081"/>
    <w:rsid w:val="3D3879AE"/>
    <w:rsid w:val="3D62210E"/>
    <w:rsid w:val="3E0E45BB"/>
    <w:rsid w:val="3E745F23"/>
    <w:rsid w:val="3ED5122D"/>
    <w:rsid w:val="3F3E4D1D"/>
    <w:rsid w:val="3F9E511B"/>
    <w:rsid w:val="400224F5"/>
    <w:rsid w:val="40605EA1"/>
    <w:rsid w:val="41206B41"/>
    <w:rsid w:val="41250249"/>
    <w:rsid w:val="41265988"/>
    <w:rsid w:val="416F33D6"/>
    <w:rsid w:val="4191768D"/>
    <w:rsid w:val="41BB0BAE"/>
    <w:rsid w:val="41DC13F2"/>
    <w:rsid w:val="42445A31"/>
    <w:rsid w:val="439E5C0D"/>
    <w:rsid w:val="43AF7CBF"/>
    <w:rsid w:val="43DE4922"/>
    <w:rsid w:val="43FF0464"/>
    <w:rsid w:val="44AC18AF"/>
    <w:rsid w:val="44B26C00"/>
    <w:rsid w:val="44D849B1"/>
    <w:rsid w:val="45282476"/>
    <w:rsid w:val="457D7B3A"/>
    <w:rsid w:val="45CD0A54"/>
    <w:rsid w:val="460F14C8"/>
    <w:rsid w:val="461D399B"/>
    <w:rsid w:val="46464CA4"/>
    <w:rsid w:val="466F0F81"/>
    <w:rsid w:val="468B5C4E"/>
    <w:rsid w:val="468C48C7"/>
    <w:rsid w:val="46AC1D56"/>
    <w:rsid w:val="47EC1AC1"/>
    <w:rsid w:val="49917593"/>
    <w:rsid w:val="49C8030C"/>
    <w:rsid w:val="4A4200BE"/>
    <w:rsid w:val="4A513E5D"/>
    <w:rsid w:val="4A597AA3"/>
    <w:rsid w:val="4A977AF4"/>
    <w:rsid w:val="4B2E419E"/>
    <w:rsid w:val="4BAF5EB2"/>
    <w:rsid w:val="4D7220BC"/>
    <w:rsid w:val="4E3F7C2B"/>
    <w:rsid w:val="4E4262E2"/>
    <w:rsid w:val="4F300D9D"/>
    <w:rsid w:val="4F3C605D"/>
    <w:rsid w:val="4FA113E3"/>
    <w:rsid w:val="4FA15887"/>
    <w:rsid w:val="50AF18DD"/>
    <w:rsid w:val="50E817D4"/>
    <w:rsid w:val="51101674"/>
    <w:rsid w:val="522B7E5B"/>
    <w:rsid w:val="530571DB"/>
    <w:rsid w:val="530D135E"/>
    <w:rsid w:val="55536649"/>
    <w:rsid w:val="55852C7F"/>
    <w:rsid w:val="558A2919"/>
    <w:rsid w:val="561344E4"/>
    <w:rsid w:val="5634450C"/>
    <w:rsid w:val="564251F3"/>
    <w:rsid w:val="56613A2C"/>
    <w:rsid w:val="56660C90"/>
    <w:rsid w:val="574C41B3"/>
    <w:rsid w:val="57831068"/>
    <w:rsid w:val="57C51D9A"/>
    <w:rsid w:val="58886E78"/>
    <w:rsid w:val="593E3A04"/>
    <w:rsid w:val="596F6E66"/>
    <w:rsid w:val="597768FF"/>
    <w:rsid w:val="5A1F51DD"/>
    <w:rsid w:val="5B321A89"/>
    <w:rsid w:val="5B4D68C3"/>
    <w:rsid w:val="5D14698C"/>
    <w:rsid w:val="5D9B3158"/>
    <w:rsid w:val="5DB93782"/>
    <w:rsid w:val="5E6A68E5"/>
    <w:rsid w:val="5E9C2E9D"/>
    <w:rsid w:val="5F726819"/>
    <w:rsid w:val="5F8328B3"/>
    <w:rsid w:val="6014175D"/>
    <w:rsid w:val="602048CF"/>
    <w:rsid w:val="60CE45CC"/>
    <w:rsid w:val="61530B84"/>
    <w:rsid w:val="61555B7C"/>
    <w:rsid w:val="61D2369A"/>
    <w:rsid w:val="624C1682"/>
    <w:rsid w:val="62A74B0A"/>
    <w:rsid w:val="63537F38"/>
    <w:rsid w:val="648869F8"/>
    <w:rsid w:val="64F102BF"/>
    <w:rsid w:val="657A6D3B"/>
    <w:rsid w:val="659333F2"/>
    <w:rsid w:val="668B64F1"/>
    <w:rsid w:val="66C94B94"/>
    <w:rsid w:val="67535261"/>
    <w:rsid w:val="676841BB"/>
    <w:rsid w:val="67D46092"/>
    <w:rsid w:val="68B277F6"/>
    <w:rsid w:val="699F3686"/>
    <w:rsid w:val="6A220C3A"/>
    <w:rsid w:val="6A327080"/>
    <w:rsid w:val="6A9B1B36"/>
    <w:rsid w:val="6B7B6B34"/>
    <w:rsid w:val="6B8A321B"/>
    <w:rsid w:val="6BAA7419"/>
    <w:rsid w:val="6BCA1745"/>
    <w:rsid w:val="6C1A00FB"/>
    <w:rsid w:val="6DCF760B"/>
    <w:rsid w:val="6E634633"/>
    <w:rsid w:val="6E814C96"/>
    <w:rsid w:val="6E881C94"/>
    <w:rsid w:val="6EC6456A"/>
    <w:rsid w:val="6F35136F"/>
    <w:rsid w:val="718E63D9"/>
    <w:rsid w:val="719C7804"/>
    <w:rsid w:val="723700F2"/>
    <w:rsid w:val="724B3EB7"/>
    <w:rsid w:val="72B73D55"/>
    <w:rsid w:val="7381499F"/>
    <w:rsid w:val="73B057E9"/>
    <w:rsid w:val="74872A61"/>
    <w:rsid w:val="75383CE8"/>
    <w:rsid w:val="7541206D"/>
    <w:rsid w:val="76516E0F"/>
    <w:rsid w:val="76701493"/>
    <w:rsid w:val="768C42EB"/>
    <w:rsid w:val="76C27D0D"/>
    <w:rsid w:val="777071D1"/>
    <w:rsid w:val="787E6A3B"/>
    <w:rsid w:val="78C338C8"/>
    <w:rsid w:val="79253202"/>
    <w:rsid w:val="795135CA"/>
    <w:rsid w:val="79556A7C"/>
    <w:rsid w:val="79A90D10"/>
    <w:rsid w:val="7AE758C6"/>
    <w:rsid w:val="7BAD6F9E"/>
    <w:rsid w:val="7CD12A58"/>
    <w:rsid w:val="7D196641"/>
    <w:rsid w:val="7D643769"/>
    <w:rsid w:val="7DB008BF"/>
    <w:rsid w:val="7DC13310"/>
    <w:rsid w:val="7EF00ED6"/>
    <w:rsid w:val="7F3E1EFB"/>
    <w:rsid w:val="7F6556D9"/>
    <w:rsid w:val="7F6B2D27"/>
    <w:rsid w:val="7F7622AD"/>
    <w:rsid w:val="7FEE3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customStyle="1" w:styleId="4">
    <w:name w:val="正文表格"/>
    <w:qFormat/>
    <w:uiPriority w:val="0"/>
    <w:pPr>
      <w:widowControl w:val="0"/>
      <w:adjustRightInd w:val="0"/>
      <w:snapToGrid w:val="0"/>
      <w:spacing w:line="240" w:lineRule="auto"/>
      <w:ind w:firstLine="600" w:firstLineChars="200"/>
      <w:jc w:val="both"/>
    </w:pPr>
    <w:rPr>
      <w:rFonts w:ascii="Times New Roman" w:hAnsi="Times New Roman" w:eastAsia="仿宋" w:cs="Times New Roman"/>
      <w:kern w:val="24"/>
      <w:sz w:val="21"/>
      <w:szCs w:val="22"/>
      <w:lang w:val="en-US" w:eastAsia="zh-CN" w:bidi="ar-SA"/>
    </w:rPr>
  </w:style>
  <w:style w:type="paragraph" w:styleId="5">
    <w:name w:val="Body Text"/>
    <w:basedOn w:val="1"/>
    <w:next w:val="1"/>
    <w:semiHidden/>
    <w:qFormat/>
    <w:uiPriority w:val="0"/>
    <w:rPr>
      <w:rFonts w:ascii="黑体" w:hAnsi="黑体" w:eastAsia="黑体" w:cs="黑体"/>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3702</Words>
  <Characters>3797</Characters>
  <TotalTime>1</TotalTime>
  <ScaleCrop>false</ScaleCrop>
  <LinksUpToDate>false</LinksUpToDate>
  <CharactersWithSpaces>4337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2024-11-06T17:52:00Z</dcterms:created>
  <dc:creator>Kingsoft-PDF</dc:creator>
  <cp:lastModifiedBy>东方农交、文小蝶18289697995</cp:lastModifiedBy>
  <cp:lastPrinted>2024-11-28T10:01:00Z</cp:lastPrinted>
  <dcterms:modified xsi:type="dcterms:W3CDTF">2026-05-27T06:26:04Z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2024-11-06T17:52:40Z</vt:filetime>
  </property>
  <property fmtid="{D5CDD505-2E9C-101B-9397-08002B2CF9AE}" pid="4" name="UsrData">
    <vt:lpwstr>672b3c64b34175001f9410dfwl</vt:lpwstr>
  </property>
  <property fmtid="{D5CDD505-2E9C-101B-9397-08002B2CF9AE}" pid="5" name="KSOProductBuildVer">
    <vt:lpwstr>2052-12.1.0.26375</vt:lpwstr>
  </property>
  <property fmtid="{D5CDD505-2E9C-101B-9397-08002B2CF9AE}" pid="6" name="ICV">
    <vt:lpwstr>9BA1B16FAE2E482CBA2142002A65AC06_13</vt:lpwstr>
  </property>
  <property fmtid="{D5CDD505-2E9C-101B-9397-08002B2CF9AE}" pid="7" name="KSOTemplateDocerSaveRecord">
    <vt:lpwstr>eyJoZGlkIjoiNjhkZWUzNjBkYTFlMzEyZDViNzg2MzQwMjE4MjZiMDciLCJ1c2VySWQiOiIxMTU5NDczNTczIn0=</vt:lpwstr>
  </property>
</Properties>
</file>