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15737"/>
      <w:bookmarkStart w:id="2" w:name="_Toc21762"/>
      <w:bookmarkStart w:id="3" w:name="_Toc11918"/>
      <w:bookmarkStart w:id="4" w:name="_Toc32320"/>
      <w:bookmarkStart w:id="5" w:name="_Toc24454"/>
      <w:bookmarkStart w:id="6" w:name="_Toc20910"/>
      <w:bookmarkStart w:id="7" w:name="_Toc21422"/>
      <w:bookmarkStart w:id="8" w:name="_Toc12789"/>
      <w:bookmarkStart w:id="9" w:name="_Toc29002"/>
      <w:bookmarkStart w:id="10" w:name="_Toc24068"/>
      <w:bookmarkStart w:id="11" w:name="_Toc25712"/>
      <w:bookmarkStart w:id="12" w:name="_Toc8396"/>
      <w:bookmarkStart w:id="13" w:name="_Toc24727"/>
      <w:bookmarkStart w:id="14" w:name="_Toc7615"/>
      <w:bookmarkStart w:id="15" w:name="_Toc20033"/>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五指山市南圣镇商业街北侧2号商铺出租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五指山市南圣镇商业街北侧2号商铺出租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五指山市南圣镇商业街北侧2号商铺出租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五指山市南圣镇商业街北侧2号商铺出租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五指山市南圣镇商业街北侧2号商铺出租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30986"/>
      <w:bookmarkStart w:id="24" w:name="_Toc29057"/>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4469"/>
      <w:bookmarkStart w:id="29" w:name="_Toc12264"/>
      <w:bookmarkStart w:id="30" w:name="_Toc13094"/>
      <w:bookmarkStart w:id="31" w:name="_Toc29841"/>
      <w:bookmarkStart w:id="32" w:name="_Toc4580"/>
      <w:bookmarkStart w:id="33" w:name="_Toc3210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五指山市南圣镇商业街北侧2号商铺出租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五指山市南圣镇商业街北侧2号商铺出租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五指山市南圣镇商业街北侧2号商铺出租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bookmarkStart w:id="37" w:name="_GoBack"/>
      <w:bookmarkEnd w:id="37"/>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C861EE-FB8A-4E94-AA10-AE7864AC5F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1C2FD904-2235-4B68-8E06-81CA2C7CE966}"/>
  </w:font>
  <w:font w:name="新宋体">
    <w:panose1 w:val="02010609030101010101"/>
    <w:charset w:val="86"/>
    <w:family w:val="modern"/>
    <w:pitch w:val="default"/>
    <w:sig w:usb0="00000283" w:usb1="288F0000" w:usb2="00000006" w:usb3="00000000" w:csb0="00040001" w:csb1="00000000"/>
    <w:embedRegular r:id="rId3" w:fontKey="{0A8E68A3-BF68-4A82-87B8-9F6A62015F5A}"/>
  </w:font>
  <w:font w:name="微软雅黑">
    <w:panose1 w:val="020B0503020204020204"/>
    <w:charset w:val="86"/>
    <w:family w:val="swiss"/>
    <w:pitch w:val="default"/>
    <w:sig w:usb0="80000287" w:usb1="2ACF3C50" w:usb2="00000016" w:usb3="00000000" w:csb0="0004001F" w:csb1="00000000"/>
    <w:embedRegular r:id="rId4" w:fontKey="{847D0346-8409-4872-8C67-658D1760BCA4}"/>
  </w:font>
  <w:font w:name="方正小标宋简体">
    <w:panose1 w:val="03000509000000000000"/>
    <w:charset w:val="86"/>
    <w:family w:val="auto"/>
    <w:pitch w:val="default"/>
    <w:sig w:usb0="00000001" w:usb1="080E0000" w:usb2="00000000" w:usb3="00000000" w:csb0="00040000" w:csb1="00000000"/>
    <w:embedRegular r:id="rId5" w:fontKey="{4A8B18AD-0992-4A92-9A0A-5170175E7C14}"/>
  </w:font>
  <w:font w:name="仿宋">
    <w:panose1 w:val="02010609060101010101"/>
    <w:charset w:val="86"/>
    <w:family w:val="modern"/>
    <w:pitch w:val="default"/>
    <w:sig w:usb0="800002BF" w:usb1="38CF7CFA" w:usb2="00000016" w:usb3="00000000" w:csb0="00040001" w:csb1="00000000"/>
    <w:embedRegular r:id="rId6" w:fontKey="{A13F282A-A1A2-4F18-A2ED-62BFD41FF5FD}"/>
  </w:font>
  <w:font w:name="方正小标宋_GBK">
    <w:panose1 w:val="02000000000000000000"/>
    <w:charset w:val="86"/>
    <w:family w:val="auto"/>
    <w:pitch w:val="default"/>
    <w:sig w:usb0="A00002BF" w:usb1="38CF7CFA" w:usb2="00082016" w:usb3="00000000" w:csb0="00040001" w:csb1="00000000"/>
    <w:embedRegular r:id="rId7" w:fontKey="{41F62C4E-7062-4336-8827-ECAB96C32438}"/>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7B2128"/>
    <w:rsid w:val="0B985CD3"/>
    <w:rsid w:val="0C250EFF"/>
    <w:rsid w:val="0CD67C16"/>
    <w:rsid w:val="0E9816ED"/>
    <w:rsid w:val="10396E71"/>
    <w:rsid w:val="11DE52CB"/>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516E47"/>
    <w:rsid w:val="53652CDF"/>
    <w:rsid w:val="53DD4F8E"/>
    <w:rsid w:val="5C9643DA"/>
    <w:rsid w:val="5CF93C67"/>
    <w:rsid w:val="612E6A05"/>
    <w:rsid w:val="6306434D"/>
    <w:rsid w:val="639B14F1"/>
    <w:rsid w:val="64515E2E"/>
    <w:rsid w:val="64D61FAB"/>
    <w:rsid w:val="660F5BCC"/>
    <w:rsid w:val="669D1F4E"/>
    <w:rsid w:val="6B255336"/>
    <w:rsid w:val="6D3B5297"/>
    <w:rsid w:val="6DB93944"/>
    <w:rsid w:val="6E4F18B8"/>
    <w:rsid w:val="6FD22578"/>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1</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2026-06-15T03:27:16Z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