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3BA2A">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6D5B2D5A">
      <w:pPr>
        <w:pStyle w:val="3"/>
        <w:rPr>
          <w:color w:val="auto"/>
          <w:highlight w:val="none"/>
          <w:lang w:val="en-US" w:eastAsia="zh-CN"/>
        </w:rPr>
      </w:pPr>
    </w:p>
    <w:p w14:paraId="3BD5C1F9">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农村集体经营性资产</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w:t>
      </w:r>
    </w:p>
    <w:p w14:paraId="0F86C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根据《中华人民共和国民法典》等有关法律、法规，甲、乙双方遵循自愿、平等、公平、诚实信用的原则，经协商一致，达成如下条款：</w:t>
      </w:r>
    </w:p>
    <w:p w14:paraId="65D08C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6CCEC1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color w:val="auto"/>
          <w:sz w:val="24"/>
          <w:szCs w:val="24"/>
          <w:highlight w:val="none"/>
        </w:rPr>
        <w:t>甲方（出租方）：</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东方市大田镇新宁坡村</w:t>
      </w:r>
      <w:r>
        <w:rPr>
          <w:rFonts w:hint="eastAsia" w:ascii="宋体" w:hAnsi="宋体" w:cs="宋体"/>
          <w:color w:val="auto"/>
          <w:sz w:val="24"/>
          <w:szCs w:val="24"/>
          <w:highlight w:val="none"/>
          <w:u w:val="single"/>
          <w:lang w:val="en-US" w:eastAsia="zh-CN"/>
        </w:rPr>
        <w:t>集体经济组织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p>
    <w:p w14:paraId="399B12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N2469007MF0159745E</w:t>
      </w:r>
      <w:r>
        <w:rPr>
          <w:rFonts w:hint="eastAsia" w:ascii="仿宋" w:hAnsi="仿宋" w:eastAsia="仿宋" w:cs="仿宋"/>
          <w:b/>
          <w:bCs/>
          <w:sz w:val="24"/>
          <w:szCs w:val="24"/>
          <w:u w:val="single"/>
          <w:lang w:val="en-US" w:eastAsia="zh-CN"/>
        </w:rPr>
        <w:tab/>
      </w:r>
      <w:r>
        <w:rPr>
          <w:rFonts w:hint="eastAsia" w:ascii="宋体" w:hAnsi="宋体" w:eastAsia="宋体" w:cs="宋体"/>
          <w:color w:val="auto"/>
          <w:sz w:val="24"/>
          <w:szCs w:val="24"/>
          <w:highlight w:val="none"/>
          <w:u w:val="single"/>
        </w:rPr>
        <w:t xml:space="preserve"> </w:t>
      </w:r>
    </w:p>
    <w:p w14:paraId="35BED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□身份证号码: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91D52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邢运才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404D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460007199405018032</w:t>
      </w:r>
      <w:r>
        <w:rPr>
          <w:rFonts w:hint="eastAsia" w:ascii="宋体" w:hAnsi="宋体" w:eastAsia="宋体" w:cs="宋体"/>
          <w:color w:val="auto"/>
          <w:sz w:val="24"/>
          <w:szCs w:val="24"/>
          <w:highlight w:val="none"/>
          <w:u w:val="single"/>
        </w:rPr>
        <w:t xml:space="preserve">  </w:t>
      </w:r>
    </w:p>
    <w:p w14:paraId="026FA9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新宁坡村村委会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18898965932</w:t>
      </w:r>
      <w:r>
        <w:rPr>
          <w:rFonts w:hint="eastAsia" w:ascii="宋体" w:hAnsi="宋体" w:eastAsia="宋体" w:cs="宋体"/>
          <w:color w:val="auto"/>
          <w:sz w:val="24"/>
          <w:szCs w:val="24"/>
          <w:highlight w:val="none"/>
          <w:u w:val="single"/>
        </w:rPr>
        <w:t xml:space="preserve">  </w:t>
      </w:r>
    </w:p>
    <w:p w14:paraId="1C0E62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经营主体类型：□自然人 □农村承包经营户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农民专业合作社 □家庭农场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农村集体经济组织 □公司 □其他:</w:t>
      </w:r>
      <w:r>
        <w:rPr>
          <w:rFonts w:hint="eastAsia" w:ascii="宋体" w:hAnsi="宋体" w:eastAsia="宋体" w:cs="宋体"/>
          <w:color w:val="auto"/>
          <w:sz w:val="24"/>
          <w:szCs w:val="24"/>
          <w:highlight w:val="none"/>
          <w:u w:val="single"/>
        </w:rPr>
        <w:t xml:space="preserve">          </w:t>
      </w:r>
    </w:p>
    <w:p w14:paraId="56D71A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486F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乙方（承租方）：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54E26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社会信用代码：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1E2F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DBD1C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法定代表人（负责人/农户代表人）：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8A066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3C32A8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B9B5C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经营主体类型：□自然人 □农村承包经营户 □农民专业合作社 □家庭农场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公司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rPr>
        <w:t xml:space="preserve">      </w:t>
      </w:r>
    </w:p>
    <w:p w14:paraId="59C926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p>
    <w:p w14:paraId="571DA9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5889EB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东方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大田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新宁坡村冷库棚、分拣棚和空地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4676D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5.21</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亩</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none"/>
          <w:lang w:val="en-US" w:eastAsia="zh-CN"/>
        </w:rPr>
        <w:t>冷库棚</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0.79</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val="en-US" w:eastAsia="zh-CN"/>
        </w:rPr>
        <w:t>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分拣棚建筑面积</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0.71</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lang w:val="en-US" w:eastAsia="zh-CN"/>
        </w:rPr>
        <w:t>亩</w:t>
      </w:r>
      <w:r>
        <w:rPr>
          <w:rFonts w:hint="eastAsia" w:ascii="宋体" w:hAnsi="宋体" w:eastAsia="宋体" w:cs="宋体"/>
          <w:color w:val="auto"/>
          <w:sz w:val="24"/>
          <w:szCs w:val="24"/>
          <w:highlight w:val="none"/>
        </w:rPr>
        <w:t>；四至为：东至：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仿宋_GB2312"/>
          <w:color w:val="auto"/>
          <w:sz w:val="24"/>
          <w:szCs w:val="24"/>
          <w:highlight w:val="none"/>
          <w:u w:val="single"/>
          <w:lang w:val="en-US" w:eastAsia="zh-CN"/>
        </w:rPr>
        <w:t>新宁坡村753县道</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仿宋_GB2312"/>
          <w:color w:val="auto"/>
          <w:sz w:val="24"/>
          <w:szCs w:val="24"/>
          <w:highlight w:val="none"/>
          <w:u w:val="single"/>
          <w:lang w:val="en-US" w:eastAsia="zh-CN"/>
        </w:rPr>
        <w:t>罗带河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仿宋_GB2312"/>
          <w:color w:val="auto"/>
          <w:sz w:val="24"/>
          <w:szCs w:val="24"/>
          <w:highlight w:val="none"/>
          <w:u w:val="single"/>
          <w:lang w:val="en-US" w:eastAsia="zh-CN"/>
        </w:rPr>
        <w:t>坡地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仿宋_GB2312"/>
          <w:color w:val="auto"/>
          <w:sz w:val="24"/>
          <w:szCs w:val="24"/>
          <w:highlight w:val="none"/>
          <w:u w:val="single"/>
          <w:lang w:val="en-US" w:eastAsia="zh-CN"/>
        </w:rPr>
        <w:t>新宁坡小学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钢结构、彩钢瓦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冷库</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无，提供</w:t>
      </w:r>
      <w:r>
        <w:rPr>
          <w:rFonts w:hint="eastAsia" w:ascii="宋体" w:hAnsi="宋体" w:eastAsia="宋体" w:cs="宋体"/>
          <w:color w:val="auto"/>
          <w:sz w:val="24"/>
          <w:szCs w:val="24"/>
          <w:highlight w:val="none"/>
          <w:u w:val="single"/>
        </w:rPr>
        <w:t>权属证明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未设定抵押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2FF7D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地块上附有保安亭一间，冷库棚0.79亩，分拣棚0.71亩，水泥硬化2.21亩，空地1.5亩</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5777AA98">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    </w:t>
      </w:r>
      <w:r>
        <w:rPr>
          <w:rFonts w:hint="eastAsia" w:ascii="宋体" w:hAnsi="宋体" w:cs="宋体"/>
          <w:color w:val="auto"/>
          <w:sz w:val="24"/>
          <w:szCs w:val="24"/>
          <w:highlight w:val="none"/>
          <w:u w:val="none"/>
          <w:lang w:val="en-US" w:eastAsia="zh-CN"/>
        </w:rPr>
        <w:t>《资产（或房地产）评估报告》。</w:t>
      </w:r>
    </w:p>
    <w:p w14:paraId="43B5A1A5">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44CF52A8">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4C2F6DDA">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768D1FE2">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6C9243C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8.标的的担保情况为（ ① ）种：</w:t>
      </w:r>
    </w:p>
    <w:p w14:paraId="2697CCC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7B3BC0D9">
      <w:pPr>
        <w:spacing w:line="360" w:lineRule="auto"/>
        <w:ind w:firstLine="480" w:firstLineChars="200"/>
        <w:rPr>
          <w:rFonts w:hint="eastAsia"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②标的已于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抵押给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并在相关部门办理抵押登记。上述流转行为已经获得抵押权人的书面同意。</w:t>
      </w:r>
    </w:p>
    <w:p w14:paraId="25E0A60C">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szCs w:val="24"/>
          <w:highlight w:val="none"/>
          <w:lang w:val="en-US" w:eastAsia="zh-CN"/>
        </w:rPr>
        <w:t>方式、</w:t>
      </w:r>
      <w:r>
        <w:rPr>
          <w:rFonts w:hint="eastAsia" w:ascii="宋体" w:hAnsi="宋体" w:eastAsia="宋体" w:cs="宋体"/>
          <w:b/>
          <w:bCs/>
          <w:color w:val="auto"/>
          <w:sz w:val="24"/>
          <w:szCs w:val="24"/>
          <w:highlight w:val="none"/>
        </w:rPr>
        <w:t>用途</w:t>
      </w:r>
    </w:p>
    <w:p w14:paraId="3F691A8A">
      <w:pPr>
        <w:pStyle w:val="8"/>
        <w:shd w:val="clear" w:color="auto" w:fill="auto"/>
        <w:spacing w:before="0" w:after="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w:t>
      </w:r>
      <w:r>
        <w:rPr>
          <w:rFonts w:hint="eastAsia" w:ascii="宋体" w:hAnsi="宋体" w:cs="宋体"/>
          <w:color w:val="auto"/>
          <w:sz w:val="24"/>
          <w:szCs w:val="24"/>
          <w:highlight w:val="none"/>
          <w:lang w:val="en-US" w:eastAsia="zh-CN"/>
        </w:rPr>
        <w:t>仅</w:t>
      </w:r>
      <w:r>
        <w:rPr>
          <w:rFonts w:hint="eastAsia" w:ascii="宋体" w:hAnsi="宋体" w:eastAsia="宋体" w:cs="宋体"/>
          <w:color w:val="auto"/>
          <w:sz w:val="24"/>
          <w:szCs w:val="24"/>
          <w:highlight w:val="none"/>
        </w:rPr>
        <w:t>用于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冷库仓储、农产品冷藏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186A97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4D99DC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05185CBD">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r>
        <w:rPr>
          <w:rFonts w:hint="eastAsia" w:ascii="宋体" w:hAnsi="宋体" w:cs="宋体"/>
          <w:color w:val="auto"/>
          <w:sz w:val="24"/>
          <w:szCs w:val="24"/>
          <w:highlight w:val="none"/>
          <w:lang w:val="en-US" w:eastAsia="zh-CN"/>
        </w:rPr>
        <w:t>共</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年。</w:t>
      </w:r>
    </w:p>
    <w:p w14:paraId="2EC5F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4F13D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2C31EA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2E5315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cs="宋体"/>
          <w:color w:val="auto"/>
          <w:sz w:val="24"/>
          <w:szCs w:val="24"/>
          <w:highlight w:val="none"/>
          <w:lang w:val="en-US" w:eastAsia="zh-CN"/>
        </w:rPr>
        <w:t>整体</w:t>
      </w:r>
      <w:r>
        <w:rPr>
          <w:rFonts w:hint="eastAsia" w:ascii="宋体" w:hAnsi="宋体" w:eastAsia="宋体" w:cs="宋体"/>
          <w:color w:val="auto"/>
          <w:sz w:val="24"/>
          <w:szCs w:val="24"/>
          <w:highlight w:val="none"/>
        </w:rPr>
        <w:t>计算租金，年租金共计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0A4BCEDC">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下一年租金，交付方式按本合同第五条第</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点约定执行。</w:t>
      </w:r>
      <w:r>
        <w:rPr>
          <w:rFonts w:hint="eastAsia" w:ascii="宋体" w:hAnsi="宋体" w:eastAsia="宋体" w:cs="宋体"/>
          <w:color w:val="auto"/>
          <w:sz w:val="24"/>
          <w:szCs w:val="24"/>
          <w:highlight w:val="none"/>
        </w:rPr>
        <w:t xml:space="preserve">         </w:t>
      </w:r>
    </w:p>
    <w:p w14:paraId="0C92E9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租金一年一付，每五年递增10%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3E03D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金，合同签订后，新承租方应向出租方一次性支付相当于一年租金（</w:t>
      </w:r>
      <w:r>
        <w:rPr>
          <w:rFonts w:hint="eastAsia" w:ascii="宋体" w:hAnsi="宋体" w:cs="宋体"/>
          <w:color w:val="auto"/>
          <w:sz w:val="24"/>
          <w:szCs w:val="24"/>
          <w:highlight w:val="none"/>
          <w:u w:val="none"/>
          <w:lang w:val="en-US" w:eastAsia="zh-CN"/>
        </w:rPr>
        <w:t>以最终成交价为准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的履约保证金，合同履行至最后一年时，该保证金可用于抵扣当年应缴纳租金。抵扣后，若保证金高于最后一年租金，出租方应在7日内将差额无息退还给新承租方；若保证金低于最后一年租金，新承租方应在7日内将差额补齐。</w:t>
      </w:r>
    </w:p>
    <w:p w14:paraId="7FA2BE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65D2F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60080A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33BEF333">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221146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57CC32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银行汇款 </w:t>
      </w:r>
    </w:p>
    <w:p w14:paraId="1A2F4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val="0"/>
          <w:color w:val="auto"/>
          <w:sz w:val="24"/>
          <w:szCs w:val="24"/>
          <w:highlight w:val="none"/>
          <w:u w:val="single"/>
        </w:rPr>
        <w:t>东方市</w:t>
      </w:r>
      <w:r>
        <w:rPr>
          <w:rFonts w:hint="eastAsia" w:ascii="宋体" w:hAnsi="宋体" w:cs="宋体"/>
          <w:bCs w:val="0"/>
          <w:color w:val="auto"/>
          <w:sz w:val="24"/>
          <w:szCs w:val="24"/>
          <w:highlight w:val="none"/>
          <w:u w:val="single"/>
          <w:lang w:val="en-US" w:eastAsia="zh-CN"/>
        </w:rPr>
        <w:t>大田</w:t>
      </w:r>
      <w:r>
        <w:rPr>
          <w:rFonts w:hint="eastAsia" w:ascii="宋体" w:hAnsi="宋体" w:eastAsia="宋体" w:cs="宋体"/>
          <w:bCs w:val="0"/>
          <w:color w:val="auto"/>
          <w:sz w:val="24"/>
          <w:szCs w:val="24"/>
          <w:highlight w:val="none"/>
          <w:u w:val="single"/>
        </w:rPr>
        <w:t>镇</w:t>
      </w:r>
      <w:r>
        <w:rPr>
          <w:rFonts w:hint="eastAsia" w:ascii="宋体" w:hAnsi="宋体" w:cs="宋体"/>
          <w:bCs w:val="0"/>
          <w:color w:val="auto"/>
          <w:sz w:val="24"/>
          <w:szCs w:val="24"/>
          <w:highlight w:val="none"/>
          <w:u w:val="single"/>
          <w:lang w:val="en-US" w:eastAsia="zh-CN"/>
        </w:rPr>
        <w:t>新宁坡</w:t>
      </w:r>
      <w:r>
        <w:rPr>
          <w:rFonts w:hint="eastAsia" w:ascii="宋体" w:hAnsi="宋体" w:eastAsia="宋体" w:cs="宋体"/>
          <w:bCs w:val="0"/>
          <w:color w:val="auto"/>
          <w:sz w:val="24"/>
          <w:szCs w:val="24"/>
          <w:highlight w:val="none"/>
          <w:u w:val="single"/>
        </w:rPr>
        <w:t>村</w:t>
      </w:r>
      <w:r>
        <w:rPr>
          <w:rFonts w:hint="eastAsia" w:ascii="宋体" w:hAnsi="宋体" w:cs="宋体"/>
          <w:bCs w:val="0"/>
          <w:color w:val="auto"/>
          <w:sz w:val="24"/>
          <w:szCs w:val="24"/>
          <w:highlight w:val="none"/>
          <w:u w:val="single"/>
          <w:lang w:val="en-US" w:eastAsia="zh-CN"/>
        </w:rPr>
        <w:t>集体经济组织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01534B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eastAsia="zh-CN"/>
        </w:rPr>
        <w:t>海南农村商业银行那股份有限公司抱板支行</w:t>
      </w:r>
      <w:r>
        <w:rPr>
          <w:rFonts w:hint="eastAsia" w:ascii="宋体" w:hAnsi="宋体" w:eastAsia="宋体" w:cs="宋体"/>
          <w:color w:val="auto"/>
          <w:sz w:val="24"/>
          <w:szCs w:val="24"/>
          <w:highlight w:val="none"/>
          <w:u w:val="single"/>
          <w:lang w:val="en-US" w:eastAsia="zh-CN"/>
        </w:rPr>
        <w:t xml:space="preserve">       </w:t>
      </w:r>
    </w:p>
    <w:p w14:paraId="6DE6A0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eastAsia="zh-CN"/>
        </w:rPr>
        <w:t>1013508500000166</w:t>
      </w:r>
      <w:r>
        <w:rPr>
          <w:rFonts w:hint="eastAsia" w:ascii="宋体" w:hAnsi="宋体" w:eastAsia="宋体" w:cs="宋体"/>
          <w:color w:val="auto"/>
          <w:sz w:val="24"/>
          <w:szCs w:val="24"/>
          <w:highlight w:val="none"/>
          <w:u w:val="single"/>
          <w:lang w:val="en-US" w:eastAsia="zh-CN"/>
        </w:rPr>
        <w:t xml:space="preserve">              </w:t>
      </w:r>
    </w:p>
    <w:p w14:paraId="4B96C0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9CC40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7ADD4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w:t>
      </w:r>
      <w:r>
        <w:rPr>
          <w:rFonts w:hint="eastAsia" w:ascii="宋体" w:hAnsi="宋体" w:cs="宋体"/>
          <w:color w:val="auto"/>
          <w:sz w:val="24"/>
          <w:szCs w:val="24"/>
          <w:highlight w:val="none"/>
          <w:lang w:val="en-US" w:eastAsia="zh-CN"/>
        </w:rPr>
        <w:t>在</w:t>
      </w:r>
      <w:r>
        <w:rPr>
          <w:rFonts w:hint="eastAsia" w:ascii="宋体" w:hAnsi="宋体" w:eastAsia="宋体" w:cs="宋体"/>
          <w:color w:val="auto"/>
          <w:sz w:val="24"/>
          <w:szCs w:val="24"/>
          <w:highlight w:val="none"/>
        </w:rPr>
        <w:t>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款项后方可交付标的</w:t>
      </w:r>
      <w:r>
        <w:rPr>
          <w:rFonts w:hint="eastAsia" w:ascii="宋体" w:hAnsi="宋体" w:eastAsia="宋体" w:cs="宋体"/>
          <w:color w:val="auto"/>
          <w:sz w:val="24"/>
          <w:szCs w:val="24"/>
          <w:highlight w:val="none"/>
          <w:lang w:eastAsia="zh-CN"/>
        </w:rPr>
        <w:t>。</w:t>
      </w:r>
    </w:p>
    <w:p w14:paraId="6C91C4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0CBC5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64F00C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75B7A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2617ED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7318A6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75A03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68F2F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69F280C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0DE8C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24882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614AE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DEF31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71BF76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乙方若再流转</w:t>
      </w:r>
      <w:r>
        <w:rPr>
          <w:rFonts w:hint="eastAsia" w:ascii="宋体" w:hAnsi="宋体" w:eastAsia="宋体" w:cs="宋体"/>
          <w:color w:val="auto"/>
          <w:sz w:val="24"/>
          <w:szCs w:val="24"/>
          <w:highlight w:val="none"/>
          <w:u w:val="single"/>
          <w:lang w:val="en-US" w:eastAsia="zh-CN"/>
        </w:rPr>
        <w:t>资产</w:t>
      </w:r>
      <w:r>
        <w:rPr>
          <w:rFonts w:hint="eastAsia" w:ascii="宋体" w:hAnsi="宋体" w:eastAsia="宋体" w:cs="宋体"/>
          <w:color w:val="auto"/>
          <w:sz w:val="24"/>
          <w:szCs w:val="24"/>
          <w:highlight w:val="none"/>
          <w:u w:val="single"/>
        </w:rPr>
        <w:t>，必须经由甲方的村党组织按照党支部会提议、“两委”会商议、党员大会审议、村民代表会议或村民会议决议，决议公开、实施结果公开以及村集体经济组织成员代表大会决议的程序决策实施同意。须将再流转产生的增值收益的50%上交给甲方，连续</w:t>
      </w:r>
      <w:r>
        <w:rPr>
          <w:rFonts w:hint="eastAsia" w:ascii="宋体" w:hAnsi="宋体" w:cs="宋体"/>
          <w:color w:val="auto"/>
          <w:sz w:val="24"/>
          <w:szCs w:val="24"/>
          <w:highlight w:val="none"/>
          <w:u w:val="single"/>
          <w:lang w:val="en-US" w:eastAsia="zh-CN"/>
        </w:rPr>
        <w:t>1</w:t>
      </w:r>
      <w:bookmarkStart w:id="0" w:name="_GoBack"/>
      <w:bookmarkEnd w:id="0"/>
      <w:r>
        <w:rPr>
          <w:rFonts w:hint="eastAsia" w:ascii="宋体" w:hAnsi="宋体" w:eastAsia="宋体" w:cs="宋体"/>
          <w:color w:val="auto"/>
          <w:sz w:val="24"/>
          <w:szCs w:val="24"/>
          <w:highlight w:val="none"/>
          <w:u w:val="single"/>
        </w:rPr>
        <w:t>年未按约定上交增值收益，甲方有权单方面解除土地承包合同，并且无条件收回</w:t>
      </w:r>
      <w:r>
        <w:rPr>
          <w:rFonts w:hint="eastAsia" w:ascii="宋体" w:hAnsi="宋体" w:eastAsia="宋体" w:cs="宋体"/>
          <w:color w:val="auto"/>
          <w:sz w:val="24"/>
          <w:szCs w:val="24"/>
          <w:highlight w:val="none"/>
          <w:u w:val="single"/>
          <w:lang w:val="en-US" w:eastAsia="zh-CN"/>
        </w:rPr>
        <w:t>资产</w:t>
      </w:r>
      <w:r>
        <w:rPr>
          <w:rFonts w:hint="eastAsia" w:ascii="宋体" w:hAnsi="宋体" w:eastAsia="宋体" w:cs="宋体"/>
          <w:color w:val="auto"/>
          <w:sz w:val="24"/>
          <w:szCs w:val="24"/>
          <w:highlight w:val="none"/>
          <w:u w:val="single"/>
        </w:rPr>
        <w:t>，且造成的损失全部由乙方自行负责</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14:paraId="59E7B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044DD9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42BF6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3F1A9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936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2DE9F45F">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5557C74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4472F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甲乙双方发生纠纷，可以协商解决，也可以请求村民委员会、</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w:t>
      </w:r>
      <w:r>
        <w:rPr>
          <w:rFonts w:hint="eastAsia" w:ascii="宋体" w:hAnsi="宋体" w:cs="宋体"/>
          <w:color w:val="auto"/>
          <w:sz w:val="24"/>
          <w:szCs w:val="24"/>
          <w:highlight w:val="none"/>
          <w:lang w:val="en-US" w:eastAsia="zh-CN"/>
        </w:rPr>
        <w:t>当地</w:t>
      </w:r>
      <w:r>
        <w:rPr>
          <w:rFonts w:hint="eastAsia" w:ascii="宋体" w:hAnsi="宋体" w:eastAsia="宋体" w:cs="宋体"/>
          <w:color w:val="auto"/>
          <w:sz w:val="24"/>
          <w:szCs w:val="24"/>
          <w:highlight w:val="none"/>
        </w:rPr>
        <w:t>仲裁委员会申请仲裁</w:t>
      </w:r>
      <w:r>
        <w:rPr>
          <w:rFonts w:hint="eastAsia" w:ascii="宋体" w:hAnsi="宋体" w:cs="宋体"/>
          <w:color w:val="auto"/>
          <w:sz w:val="24"/>
          <w:szCs w:val="24"/>
          <w:highlight w:val="none"/>
          <w:lang w:eastAsia="zh-CN"/>
        </w:rPr>
        <w:t>，也可以直接向人民法院起诉。</w:t>
      </w:r>
    </w:p>
    <w:p w14:paraId="176C27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5E70FA12">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2BA6AB3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78A9C26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719B92E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4.其他约定：</w:t>
      </w:r>
      <w:r>
        <w:rPr>
          <w:rFonts w:hint="eastAsia" w:ascii="宋体" w:hAnsi="宋体" w:eastAsia="宋体" w:cs="宋体"/>
          <w:color w:val="auto"/>
          <w:sz w:val="24"/>
          <w:szCs w:val="24"/>
          <w:highlight w:val="none"/>
          <w:u w:val="single"/>
          <w:lang w:val="en-US" w:eastAsia="zh-CN"/>
        </w:rPr>
        <w:t xml:space="preserve">                                                    </w:t>
      </w:r>
    </w:p>
    <w:p w14:paraId="4E6E9F9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乡（镇）人民政府</w:t>
      </w:r>
      <w:r>
        <w:rPr>
          <w:rFonts w:hint="eastAsia" w:ascii="宋体" w:hAnsi="宋体" w:eastAsia="宋体" w:cs="宋体"/>
          <w:color w:val="auto"/>
          <w:sz w:val="24"/>
          <w:szCs w:val="24"/>
          <w:highlight w:val="none"/>
        </w:rPr>
        <w:t>农村集体资产管理部门</w:t>
      </w:r>
      <w:r>
        <w:rPr>
          <w:rFonts w:hint="eastAsia" w:ascii="宋体" w:hAnsi="宋体" w:eastAsia="宋体" w:cs="宋体"/>
          <w:color w:val="auto"/>
          <w:sz w:val="24"/>
          <w:szCs w:val="24"/>
          <w:highlight w:val="none"/>
          <w:lang w:val="en-US" w:eastAsia="zh-CN"/>
        </w:rPr>
        <w:t>，各执一</w:t>
      </w:r>
      <w:r>
        <w:rPr>
          <w:rFonts w:hint="eastAsia" w:ascii="宋体" w:hAnsi="宋体" w:eastAsia="宋体" w:cs="宋体"/>
          <w:color w:val="auto"/>
          <w:sz w:val="24"/>
          <w:szCs w:val="24"/>
          <w:highlight w:val="none"/>
        </w:rPr>
        <w:t xml:space="preserve">份。 </w:t>
      </w:r>
    </w:p>
    <w:p w14:paraId="533B37A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D7CD4C6">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204AF92C">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none"/>
          <w:lang w:val="en-US" w:eastAsia="zh-CN"/>
        </w:rPr>
      </w:pPr>
    </w:p>
    <w:p w14:paraId="7074E2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zh-TW" w:eastAsia="zh-TW"/>
        </w:rPr>
        <w:t>甲方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TW" w:eastAsia="zh-TW"/>
        </w:rPr>
        <w:t>乙方</w:t>
      </w:r>
      <w:r>
        <w:rPr>
          <w:rFonts w:hint="eastAsia" w:ascii="宋体" w:hAnsi="宋体" w:cs="宋体"/>
          <w:color w:val="auto"/>
          <w:sz w:val="24"/>
          <w:szCs w:val="24"/>
          <w:highlight w:val="none"/>
          <w:lang w:val="zh-TW" w:eastAsia="zh-CN"/>
        </w:rPr>
        <w:t>（</w:t>
      </w:r>
      <w:r>
        <w:rPr>
          <w:rFonts w:hint="eastAsia" w:ascii="宋体" w:hAnsi="宋体" w:cs="宋体"/>
          <w:color w:val="auto"/>
          <w:sz w:val="24"/>
          <w:szCs w:val="24"/>
          <w:highlight w:val="none"/>
          <w:lang w:val="en-US" w:eastAsia="zh-CN"/>
        </w:rPr>
        <w:t>盖章）</w:t>
      </w:r>
      <w:r>
        <w:rPr>
          <w:rFonts w:hint="eastAsia" w:ascii="宋体" w:hAnsi="宋体" w:cs="宋体"/>
          <w:color w:val="auto"/>
          <w:sz w:val="24"/>
          <w:szCs w:val="24"/>
          <w:highlight w:val="none"/>
          <w:lang w:val="zh-TW" w:eastAsia="zh-CN"/>
        </w:rPr>
        <w:t>：</w:t>
      </w:r>
    </w:p>
    <w:p w14:paraId="6DBC6D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ascii="仿宋" w:hAnsi="仿宋" w:eastAsia="仿宋" w:cs="仿宋"/>
          <w:spacing w:val="-40"/>
          <w:sz w:val="24"/>
          <w:szCs w:val="24"/>
        </w:rPr>
        <w:t xml:space="preserve">法定代表人（负责人/农户代表人）签字：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p>
    <w:p w14:paraId="287340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p w14:paraId="21AEDD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5B09F2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p>
    <w:p w14:paraId="5982FF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706E8CCE">
      <w:pPr>
        <w:pStyle w:val="3"/>
        <w:rPr>
          <w:rFonts w:hint="eastAsia" w:ascii="宋体" w:hAnsi="宋体" w:eastAsia="宋体" w:cs="宋体"/>
          <w:b/>
          <w:bCs/>
          <w:color w:val="auto"/>
          <w:sz w:val="24"/>
          <w:szCs w:val="24"/>
          <w:highlight w:val="none"/>
          <w:lang w:val="zh-TW" w:eastAsia="zh-TW"/>
        </w:rPr>
      </w:pPr>
    </w:p>
    <w:p w14:paraId="49C1A022">
      <w:pPr>
        <w:pStyle w:val="3"/>
        <w:rPr>
          <w:rFonts w:hint="eastAsia" w:ascii="宋体" w:hAnsi="宋体" w:eastAsia="宋体" w:cs="宋体"/>
          <w:b/>
          <w:bCs/>
          <w:color w:val="auto"/>
          <w:sz w:val="24"/>
          <w:szCs w:val="24"/>
          <w:highlight w:val="none"/>
          <w:u w:val="single"/>
          <w:lang w:val="zh-TW" w:eastAsia="zh-TW"/>
        </w:rPr>
      </w:pPr>
    </w:p>
    <w:p w14:paraId="622CA0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cs="宋体"/>
          <w:b w:val="0"/>
          <w:bCs w:val="0"/>
          <w:color w:val="auto"/>
          <w:sz w:val="24"/>
          <w:szCs w:val="24"/>
          <w:highlight w:val="none"/>
          <w:u w:val="single"/>
          <w:lang w:val="en-US" w:eastAsia="zh-CN"/>
        </w:rPr>
        <w:t>大田</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镇人民政府备案（盖章）：</w:t>
      </w:r>
    </w:p>
    <w:p w14:paraId="14258E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81020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E579A10">
      <w:pPr>
        <w:spacing w:before="104" w:line="218" w:lineRule="auto"/>
        <w:ind w:firstLine="290" w:firstLineChars="100"/>
        <w:rPr>
          <w:rFonts w:ascii="黑体" w:hAnsi="黑体" w:eastAsia="黑体" w:cs="黑体"/>
          <w:spacing w:val="-15"/>
          <w:sz w:val="32"/>
          <w:szCs w:val="32"/>
        </w:rPr>
      </w:pPr>
    </w:p>
    <w:p w14:paraId="5372A6C1">
      <w:pPr>
        <w:spacing w:before="104" w:line="218" w:lineRule="auto"/>
        <w:ind w:firstLine="290" w:firstLineChars="100"/>
        <w:rPr>
          <w:rFonts w:ascii="黑体" w:hAnsi="黑体" w:eastAsia="黑体" w:cs="黑体"/>
          <w:spacing w:val="-15"/>
          <w:sz w:val="32"/>
          <w:szCs w:val="32"/>
        </w:rPr>
      </w:pPr>
    </w:p>
    <w:p w14:paraId="6F15314E">
      <w:pPr>
        <w:spacing w:before="104" w:line="218" w:lineRule="auto"/>
        <w:ind w:firstLine="290" w:firstLineChars="100"/>
        <w:rPr>
          <w:rFonts w:ascii="黑体" w:hAnsi="黑体" w:eastAsia="黑体" w:cs="黑体"/>
          <w:spacing w:val="-15"/>
          <w:sz w:val="32"/>
          <w:szCs w:val="32"/>
        </w:rPr>
      </w:pPr>
    </w:p>
    <w:p w14:paraId="0386BA80">
      <w:pPr>
        <w:spacing w:before="104" w:line="218" w:lineRule="auto"/>
        <w:rPr>
          <w:rFonts w:ascii="黑体" w:hAnsi="黑体" w:eastAsia="黑体" w:cs="黑体"/>
          <w:spacing w:val="-15"/>
          <w:sz w:val="32"/>
          <w:szCs w:val="32"/>
        </w:rPr>
      </w:pPr>
    </w:p>
    <w:p w14:paraId="6FE97B62">
      <w:pPr>
        <w:spacing w:before="182" w:line="224" w:lineRule="auto"/>
        <w:rPr>
          <w:rFonts w:hint="eastAsia" w:ascii="宋体" w:hAnsi="宋体" w:eastAsia="宋体" w:cs="宋体"/>
          <w:b w:val="0"/>
          <w:bCs w:val="0"/>
          <w:color w:val="auto"/>
          <w:kern w:val="2"/>
          <w:sz w:val="24"/>
          <w:szCs w:val="24"/>
          <w:highlight w:val="none"/>
          <w:lang w:val="en-US" w:eastAsia="zh-CN" w:bidi="ar-SA"/>
        </w:rPr>
      </w:pPr>
    </w:p>
    <w:p w14:paraId="546B4A3B">
      <w:pPr>
        <w:spacing w:before="182" w:line="224"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附件清单：</w:t>
      </w:r>
    </w:p>
    <w:tbl>
      <w:tblPr>
        <w:tblStyle w:val="6"/>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5D1E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408ED998">
            <w:pPr>
              <w:spacing w:before="182" w:line="224" w:lineRule="auto"/>
              <w:ind w:left="22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序号</w:t>
            </w:r>
          </w:p>
        </w:tc>
        <w:tc>
          <w:tcPr>
            <w:tcW w:w="3541" w:type="dxa"/>
            <w:vAlign w:val="top"/>
          </w:tcPr>
          <w:p w14:paraId="329A1F3B">
            <w:pPr>
              <w:spacing w:before="183" w:line="222" w:lineRule="auto"/>
              <w:ind w:left="123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附件名称</w:t>
            </w:r>
          </w:p>
        </w:tc>
        <w:tc>
          <w:tcPr>
            <w:tcW w:w="1558" w:type="dxa"/>
            <w:vAlign w:val="top"/>
          </w:tcPr>
          <w:p w14:paraId="2042F9E3">
            <w:pPr>
              <w:spacing w:before="183" w:line="226" w:lineRule="auto"/>
              <w:ind w:left="223"/>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是否具备</w:t>
            </w:r>
          </w:p>
        </w:tc>
        <w:tc>
          <w:tcPr>
            <w:tcW w:w="1133" w:type="dxa"/>
            <w:vAlign w:val="top"/>
          </w:tcPr>
          <w:p w14:paraId="6317D437">
            <w:pPr>
              <w:spacing w:before="182" w:line="225" w:lineRule="auto"/>
              <w:ind w:left="32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页数</w:t>
            </w:r>
          </w:p>
        </w:tc>
        <w:tc>
          <w:tcPr>
            <w:tcW w:w="1138" w:type="dxa"/>
            <w:vAlign w:val="top"/>
          </w:tcPr>
          <w:p w14:paraId="474909A4">
            <w:pPr>
              <w:spacing w:before="183" w:line="226" w:lineRule="auto"/>
              <w:ind w:left="3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备注</w:t>
            </w:r>
          </w:p>
        </w:tc>
      </w:tr>
      <w:tr w14:paraId="635CD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F0408AE">
            <w:pPr>
              <w:spacing w:before="213" w:line="184" w:lineRule="auto"/>
              <w:ind w:left="454"/>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3541" w:type="dxa"/>
            <w:vAlign w:val="top"/>
          </w:tcPr>
          <w:p w14:paraId="20FDB976">
            <w:pPr>
              <w:spacing w:before="177" w:line="223" w:lineRule="auto"/>
              <w:ind w:left="153"/>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甲方、乙方的证件复印件</w:t>
            </w:r>
          </w:p>
        </w:tc>
        <w:tc>
          <w:tcPr>
            <w:tcW w:w="1558" w:type="dxa"/>
            <w:vAlign w:val="top"/>
          </w:tcPr>
          <w:p w14:paraId="13F6080F">
            <w:pPr>
              <w:pStyle w:val="7"/>
              <w:jc w:val="center"/>
              <w:rPr>
                <w:rFonts w:hint="default" w:ascii="宋体" w:hAnsi="宋体" w:eastAsia="宋体" w:cs="宋体"/>
                <w:b w:val="0"/>
                <w:bCs w:val="0"/>
                <w:color w:val="auto"/>
                <w:kern w:val="2"/>
                <w:sz w:val="24"/>
                <w:szCs w:val="24"/>
                <w:highlight w:val="none"/>
                <w:lang w:val="en-US" w:eastAsia="zh-CN" w:bidi="ar-SA"/>
              </w:rPr>
            </w:pPr>
          </w:p>
        </w:tc>
        <w:tc>
          <w:tcPr>
            <w:tcW w:w="1133" w:type="dxa"/>
            <w:vAlign w:val="top"/>
          </w:tcPr>
          <w:p w14:paraId="18C33496">
            <w:pPr>
              <w:pStyle w:val="7"/>
              <w:jc w:val="center"/>
              <w:rPr>
                <w:rFonts w:hint="default" w:ascii="宋体" w:hAnsi="宋体" w:eastAsia="宋体" w:cs="宋体"/>
                <w:b w:val="0"/>
                <w:bCs w:val="0"/>
                <w:color w:val="auto"/>
                <w:kern w:val="2"/>
                <w:sz w:val="24"/>
                <w:szCs w:val="24"/>
                <w:highlight w:val="none"/>
                <w:lang w:val="en-US" w:eastAsia="zh-CN" w:bidi="ar-SA"/>
              </w:rPr>
            </w:pPr>
          </w:p>
        </w:tc>
        <w:tc>
          <w:tcPr>
            <w:tcW w:w="1138" w:type="dxa"/>
            <w:vAlign w:val="top"/>
          </w:tcPr>
          <w:p w14:paraId="1BEA6EC1">
            <w:pPr>
              <w:pStyle w:val="7"/>
              <w:rPr>
                <w:rFonts w:hint="eastAsia" w:ascii="宋体" w:hAnsi="宋体" w:eastAsia="宋体" w:cs="宋体"/>
                <w:b w:val="0"/>
                <w:bCs w:val="0"/>
                <w:color w:val="auto"/>
                <w:kern w:val="2"/>
                <w:sz w:val="24"/>
                <w:szCs w:val="24"/>
                <w:highlight w:val="none"/>
                <w:lang w:val="en-US" w:eastAsia="zh-CN" w:bidi="ar-SA"/>
              </w:rPr>
            </w:pPr>
          </w:p>
        </w:tc>
      </w:tr>
      <w:tr w14:paraId="7A0C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43DE7518">
            <w:pPr>
              <w:spacing w:before="214" w:line="184" w:lineRule="auto"/>
              <w:ind w:left="447"/>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p>
        </w:tc>
        <w:tc>
          <w:tcPr>
            <w:tcW w:w="3541" w:type="dxa"/>
            <w:vAlign w:val="top"/>
          </w:tcPr>
          <w:p w14:paraId="13255701">
            <w:pPr>
              <w:spacing w:before="177" w:line="223" w:lineRule="auto"/>
              <w:ind w:left="148"/>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的权属证明</w:t>
            </w:r>
          </w:p>
        </w:tc>
        <w:tc>
          <w:tcPr>
            <w:tcW w:w="1558" w:type="dxa"/>
            <w:vAlign w:val="top"/>
          </w:tcPr>
          <w:p w14:paraId="53DD2797">
            <w:pPr>
              <w:pStyle w:val="7"/>
              <w:jc w:val="center"/>
              <w:rPr>
                <w:rFonts w:hint="default" w:ascii="宋体" w:hAnsi="宋体" w:eastAsia="宋体" w:cs="宋体"/>
                <w:b w:val="0"/>
                <w:bCs w:val="0"/>
                <w:color w:val="auto"/>
                <w:kern w:val="2"/>
                <w:sz w:val="24"/>
                <w:szCs w:val="24"/>
                <w:highlight w:val="none"/>
                <w:lang w:val="en-US" w:eastAsia="zh-CN" w:bidi="ar-SA"/>
              </w:rPr>
            </w:pPr>
          </w:p>
        </w:tc>
        <w:tc>
          <w:tcPr>
            <w:tcW w:w="1133" w:type="dxa"/>
            <w:vAlign w:val="top"/>
          </w:tcPr>
          <w:p w14:paraId="13D20266">
            <w:pPr>
              <w:pStyle w:val="7"/>
              <w:jc w:val="center"/>
              <w:rPr>
                <w:rFonts w:hint="default" w:ascii="宋体" w:hAnsi="宋体" w:eastAsia="宋体" w:cs="宋体"/>
                <w:b w:val="0"/>
                <w:bCs w:val="0"/>
                <w:color w:val="auto"/>
                <w:kern w:val="2"/>
                <w:sz w:val="24"/>
                <w:szCs w:val="24"/>
                <w:highlight w:val="none"/>
                <w:lang w:val="en-US" w:eastAsia="zh-CN" w:bidi="ar-SA"/>
              </w:rPr>
            </w:pPr>
          </w:p>
        </w:tc>
        <w:tc>
          <w:tcPr>
            <w:tcW w:w="1138" w:type="dxa"/>
            <w:vAlign w:val="top"/>
          </w:tcPr>
          <w:p w14:paraId="42D757F3">
            <w:pPr>
              <w:pStyle w:val="7"/>
              <w:rPr>
                <w:rFonts w:hint="eastAsia" w:ascii="宋体" w:hAnsi="宋体" w:eastAsia="宋体" w:cs="宋体"/>
                <w:b w:val="0"/>
                <w:bCs w:val="0"/>
                <w:color w:val="auto"/>
                <w:kern w:val="2"/>
                <w:sz w:val="24"/>
                <w:szCs w:val="24"/>
                <w:highlight w:val="none"/>
                <w:lang w:val="en-US" w:eastAsia="zh-CN" w:bidi="ar-SA"/>
              </w:rPr>
            </w:pPr>
          </w:p>
        </w:tc>
      </w:tr>
      <w:tr w14:paraId="69D23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4283F04">
            <w:pPr>
              <w:spacing w:before="214" w:line="186" w:lineRule="auto"/>
              <w:ind w:left="458"/>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p>
        </w:tc>
        <w:tc>
          <w:tcPr>
            <w:tcW w:w="3541" w:type="dxa"/>
            <w:vAlign w:val="top"/>
          </w:tcPr>
          <w:p w14:paraId="1CE0DC28">
            <w:pPr>
              <w:spacing w:before="179" w:line="223" w:lineRule="auto"/>
              <w:ind w:left="149"/>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出租</w:t>
            </w:r>
            <w:r>
              <w:rPr>
                <w:rFonts w:hint="eastAsia" w:ascii="宋体" w:hAnsi="宋体" w:cs="宋体"/>
                <w:b w:val="0"/>
                <w:bCs w:val="0"/>
                <w:color w:val="auto"/>
                <w:kern w:val="2"/>
                <w:sz w:val="24"/>
                <w:szCs w:val="24"/>
                <w:highlight w:val="none"/>
                <w:lang w:val="en-US" w:eastAsia="zh-CN" w:bidi="ar-SA"/>
              </w:rPr>
              <w:t>资产</w:t>
            </w:r>
            <w:r>
              <w:rPr>
                <w:rFonts w:hint="eastAsia" w:ascii="宋体" w:hAnsi="宋体" w:eastAsia="宋体" w:cs="宋体"/>
                <w:b w:val="0"/>
                <w:bCs w:val="0"/>
                <w:color w:val="auto"/>
                <w:kern w:val="2"/>
                <w:sz w:val="24"/>
                <w:szCs w:val="24"/>
                <w:highlight w:val="none"/>
                <w:lang w:val="en-US" w:eastAsia="zh-CN" w:bidi="ar-SA"/>
              </w:rPr>
              <w:t>范围附图</w:t>
            </w:r>
          </w:p>
        </w:tc>
        <w:tc>
          <w:tcPr>
            <w:tcW w:w="1558" w:type="dxa"/>
            <w:vAlign w:val="top"/>
          </w:tcPr>
          <w:p w14:paraId="56ACAA98">
            <w:pPr>
              <w:pStyle w:val="7"/>
              <w:jc w:val="center"/>
              <w:rPr>
                <w:rFonts w:hint="default" w:ascii="宋体" w:hAnsi="宋体" w:eastAsia="宋体" w:cs="宋体"/>
                <w:b w:val="0"/>
                <w:bCs w:val="0"/>
                <w:color w:val="auto"/>
                <w:kern w:val="2"/>
                <w:sz w:val="24"/>
                <w:szCs w:val="24"/>
                <w:highlight w:val="none"/>
                <w:lang w:val="en-US" w:eastAsia="zh-CN" w:bidi="ar-SA"/>
              </w:rPr>
            </w:pPr>
          </w:p>
        </w:tc>
        <w:tc>
          <w:tcPr>
            <w:tcW w:w="1133" w:type="dxa"/>
            <w:vAlign w:val="top"/>
          </w:tcPr>
          <w:p w14:paraId="54141D28">
            <w:pPr>
              <w:pStyle w:val="7"/>
              <w:jc w:val="center"/>
              <w:rPr>
                <w:rFonts w:hint="default" w:ascii="宋体" w:hAnsi="宋体" w:eastAsia="宋体" w:cs="宋体"/>
                <w:b w:val="0"/>
                <w:bCs w:val="0"/>
                <w:color w:val="auto"/>
                <w:kern w:val="2"/>
                <w:sz w:val="24"/>
                <w:szCs w:val="24"/>
                <w:highlight w:val="none"/>
                <w:lang w:val="en-US" w:eastAsia="zh-CN" w:bidi="ar-SA"/>
              </w:rPr>
            </w:pPr>
          </w:p>
        </w:tc>
        <w:tc>
          <w:tcPr>
            <w:tcW w:w="1138" w:type="dxa"/>
            <w:vAlign w:val="top"/>
          </w:tcPr>
          <w:p w14:paraId="5AF5D395">
            <w:pPr>
              <w:pStyle w:val="7"/>
              <w:rPr>
                <w:rFonts w:hint="eastAsia" w:ascii="宋体" w:hAnsi="宋体" w:eastAsia="宋体" w:cs="宋体"/>
                <w:b w:val="0"/>
                <w:bCs w:val="0"/>
                <w:color w:val="auto"/>
                <w:kern w:val="2"/>
                <w:sz w:val="24"/>
                <w:szCs w:val="24"/>
                <w:highlight w:val="none"/>
                <w:lang w:val="en-US" w:eastAsia="zh-CN" w:bidi="ar-SA"/>
              </w:rPr>
            </w:pPr>
          </w:p>
        </w:tc>
      </w:tr>
      <w:tr w14:paraId="718A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8F4EB68">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0541BFBB">
            <w:pPr>
              <w:pStyle w:val="7"/>
              <w:spacing w:line="300" w:lineRule="auto"/>
              <w:rPr>
                <w:rFonts w:hint="eastAsia" w:ascii="宋体" w:hAnsi="宋体" w:eastAsia="宋体" w:cs="宋体"/>
                <w:b w:val="0"/>
                <w:bCs w:val="0"/>
                <w:color w:val="auto"/>
                <w:kern w:val="2"/>
                <w:sz w:val="24"/>
                <w:szCs w:val="24"/>
                <w:highlight w:val="none"/>
                <w:lang w:val="en-US" w:eastAsia="zh-CN" w:bidi="ar-SA"/>
              </w:rPr>
            </w:pPr>
          </w:p>
          <w:p w14:paraId="45004723">
            <w:pPr>
              <w:pStyle w:val="7"/>
              <w:spacing w:line="301" w:lineRule="auto"/>
              <w:rPr>
                <w:rFonts w:hint="eastAsia" w:ascii="宋体" w:hAnsi="宋体" w:eastAsia="宋体" w:cs="宋体"/>
                <w:b w:val="0"/>
                <w:bCs w:val="0"/>
                <w:color w:val="auto"/>
                <w:kern w:val="2"/>
                <w:sz w:val="24"/>
                <w:szCs w:val="24"/>
                <w:highlight w:val="none"/>
                <w:lang w:val="en-US" w:eastAsia="zh-CN" w:bidi="ar-SA"/>
              </w:rPr>
            </w:pPr>
          </w:p>
          <w:p w14:paraId="74B07F75">
            <w:pPr>
              <w:spacing w:before="88" w:line="184" w:lineRule="auto"/>
              <w:ind w:left="44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p>
        </w:tc>
        <w:tc>
          <w:tcPr>
            <w:tcW w:w="3541" w:type="dxa"/>
            <w:vAlign w:val="top"/>
          </w:tcPr>
          <w:p w14:paraId="0762822A">
            <w:pPr>
              <w:spacing w:before="178" w:line="324" w:lineRule="auto"/>
              <w:ind w:left="111" w:right="105" w:firstLine="1"/>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其他（附属建筑及设施清单、村民会议决议书及公示材料</w:t>
            </w:r>
            <w:r>
              <w:rPr>
                <w:rFonts w:hint="eastAsia" w:ascii="宋体" w:hAnsi="宋体" w:cs="宋体"/>
                <w:b w:val="0"/>
                <w:bCs w:val="0"/>
                <w:color w:val="auto"/>
                <w:kern w:val="2"/>
                <w:sz w:val="24"/>
                <w:szCs w:val="24"/>
                <w:highlight w:val="none"/>
                <w:lang w:val="en-US" w:eastAsia="zh-CN" w:bidi="ar-SA"/>
              </w:rPr>
              <w:t>、</w:t>
            </w:r>
            <w:r>
              <w:rPr>
                <w:rFonts w:hint="eastAsia" w:ascii="宋体" w:hAnsi="宋体" w:eastAsia="宋体" w:cs="宋体"/>
                <w:sz w:val="24"/>
                <w:szCs w:val="24"/>
                <w:lang w:eastAsia="zh-CN"/>
              </w:rPr>
              <w:t>新宁坡村集体经济组织法定代表人在职证明</w:t>
            </w:r>
            <w:r>
              <w:rPr>
                <w:rFonts w:hint="eastAsia" w:ascii="宋体" w:hAnsi="宋体" w:eastAsia="宋体" w:cs="宋体"/>
                <w:b w:val="0"/>
                <w:bCs w:val="0"/>
                <w:color w:val="auto"/>
                <w:kern w:val="2"/>
                <w:sz w:val="24"/>
                <w:szCs w:val="24"/>
                <w:highlight w:val="none"/>
                <w:lang w:val="en-US" w:eastAsia="zh-CN" w:bidi="ar-SA"/>
              </w:rPr>
              <w:t>）</w:t>
            </w:r>
          </w:p>
        </w:tc>
        <w:tc>
          <w:tcPr>
            <w:tcW w:w="1558" w:type="dxa"/>
            <w:vAlign w:val="top"/>
          </w:tcPr>
          <w:p w14:paraId="795E50CB">
            <w:pPr>
              <w:pStyle w:val="7"/>
              <w:jc w:val="center"/>
              <w:rPr>
                <w:rFonts w:hint="default" w:ascii="宋体" w:hAnsi="宋体" w:eastAsia="宋体" w:cs="宋体"/>
                <w:b w:val="0"/>
                <w:bCs w:val="0"/>
                <w:color w:val="auto"/>
                <w:kern w:val="2"/>
                <w:sz w:val="24"/>
                <w:szCs w:val="24"/>
                <w:highlight w:val="none"/>
                <w:lang w:val="en-US" w:eastAsia="zh-CN" w:bidi="ar-SA"/>
              </w:rPr>
            </w:pPr>
          </w:p>
        </w:tc>
        <w:tc>
          <w:tcPr>
            <w:tcW w:w="1133" w:type="dxa"/>
            <w:vAlign w:val="top"/>
          </w:tcPr>
          <w:p w14:paraId="2978AD70">
            <w:pPr>
              <w:pStyle w:val="7"/>
              <w:jc w:val="center"/>
              <w:rPr>
                <w:rFonts w:hint="default" w:ascii="宋体" w:hAnsi="宋体" w:eastAsia="宋体" w:cs="宋体"/>
                <w:b w:val="0"/>
                <w:bCs w:val="0"/>
                <w:color w:val="auto"/>
                <w:kern w:val="2"/>
                <w:sz w:val="24"/>
                <w:szCs w:val="24"/>
                <w:highlight w:val="none"/>
                <w:lang w:val="en-US" w:eastAsia="zh-CN" w:bidi="ar-SA"/>
              </w:rPr>
            </w:pPr>
          </w:p>
        </w:tc>
        <w:tc>
          <w:tcPr>
            <w:tcW w:w="1138" w:type="dxa"/>
            <w:vAlign w:val="top"/>
          </w:tcPr>
          <w:p w14:paraId="540E46B7">
            <w:pPr>
              <w:pStyle w:val="7"/>
              <w:rPr>
                <w:rFonts w:hint="eastAsia" w:ascii="宋体" w:hAnsi="宋体" w:eastAsia="宋体" w:cs="宋体"/>
                <w:b w:val="0"/>
                <w:bCs w:val="0"/>
                <w:color w:val="auto"/>
                <w:kern w:val="2"/>
                <w:sz w:val="24"/>
                <w:szCs w:val="24"/>
                <w:highlight w:val="none"/>
                <w:lang w:val="en-US" w:eastAsia="zh-CN" w:bidi="ar-SA"/>
              </w:rPr>
            </w:pPr>
          </w:p>
        </w:tc>
      </w:tr>
      <w:tr w14:paraId="406B1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3D58F8E">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31236DDF">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3F9093B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529E411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37971D4">
            <w:pPr>
              <w:pStyle w:val="7"/>
              <w:rPr>
                <w:rFonts w:hint="eastAsia" w:ascii="宋体" w:hAnsi="宋体" w:eastAsia="宋体" w:cs="宋体"/>
                <w:b w:val="0"/>
                <w:bCs w:val="0"/>
                <w:color w:val="auto"/>
                <w:kern w:val="2"/>
                <w:sz w:val="24"/>
                <w:szCs w:val="24"/>
                <w:highlight w:val="none"/>
                <w:lang w:val="en-US" w:eastAsia="zh-CN" w:bidi="ar-SA"/>
              </w:rPr>
            </w:pPr>
          </w:p>
        </w:tc>
      </w:tr>
      <w:tr w14:paraId="24021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09BFF5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02C53630">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56A7204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94AFE3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01926906">
            <w:pPr>
              <w:pStyle w:val="7"/>
              <w:rPr>
                <w:rFonts w:hint="eastAsia" w:ascii="宋体" w:hAnsi="宋体" w:eastAsia="宋体" w:cs="宋体"/>
                <w:b w:val="0"/>
                <w:bCs w:val="0"/>
                <w:color w:val="auto"/>
                <w:kern w:val="2"/>
                <w:sz w:val="24"/>
                <w:szCs w:val="24"/>
                <w:highlight w:val="none"/>
                <w:lang w:val="en-US" w:eastAsia="zh-CN" w:bidi="ar-SA"/>
              </w:rPr>
            </w:pPr>
          </w:p>
        </w:tc>
      </w:tr>
      <w:tr w14:paraId="3EDF6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CD6F1E8">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6C4510C">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2A8A35E">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29862D8">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EC1C794">
            <w:pPr>
              <w:pStyle w:val="7"/>
              <w:rPr>
                <w:rFonts w:hint="eastAsia" w:ascii="宋体" w:hAnsi="宋体" w:eastAsia="宋体" w:cs="宋体"/>
                <w:b w:val="0"/>
                <w:bCs w:val="0"/>
                <w:color w:val="auto"/>
                <w:kern w:val="2"/>
                <w:sz w:val="24"/>
                <w:szCs w:val="24"/>
                <w:highlight w:val="none"/>
                <w:lang w:val="en-US" w:eastAsia="zh-CN" w:bidi="ar-SA"/>
              </w:rPr>
            </w:pPr>
          </w:p>
        </w:tc>
      </w:tr>
      <w:tr w14:paraId="4E1F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37CE39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2D3FDC0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171E10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7D7EA241">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702AEA52">
            <w:pPr>
              <w:pStyle w:val="7"/>
              <w:rPr>
                <w:rFonts w:hint="eastAsia" w:ascii="宋体" w:hAnsi="宋体" w:eastAsia="宋体" w:cs="宋体"/>
                <w:b w:val="0"/>
                <w:bCs w:val="0"/>
                <w:color w:val="auto"/>
                <w:kern w:val="2"/>
                <w:sz w:val="24"/>
                <w:szCs w:val="24"/>
                <w:highlight w:val="none"/>
                <w:lang w:val="en-US" w:eastAsia="zh-CN" w:bidi="ar-SA"/>
              </w:rPr>
            </w:pPr>
          </w:p>
        </w:tc>
      </w:tr>
      <w:tr w14:paraId="54961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B0E2D4A">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2344001">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4FFAF8F">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60E0F7D4">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235991B6">
            <w:pPr>
              <w:pStyle w:val="7"/>
              <w:rPr>
                <w:rFonts w:hint="eastAsia" w:ascii="宋体" w:hAnsi="宋体" w:eastAsia="宋体" w:cs="宋体"/>
                <w:b w:val="0"/>
                <w:bCs w:val="0"/>
                <w:color w:val="auto"/>
                <w:kern w:val="2"/>
                <w:sz w:val="24"/>
                <w:szCs w:val="24"/>
                <w:highlight w:val="none"/>
                <w:lang w:val="en-US" w:eastAsia="zh-CN" w:bidi="ar-SA"/>
              </w:rPr>
            </w:pPr>
          </w:p>
        </w:tc>
      </w:tr>
      <w:tr w14:paraId="4CF7B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1AF6BFAF">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6D051D95">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6A930BBC">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18E752E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4FA054E8">
            <w:pPr>
              <w:pStyle w:val="7"/>
              <w:rPr>
                <w:rFonts w:hint="eastAsia" w:ascii="宋体" w:hAnsi="宋体" w:eastAsia="宋体" w:cs="宋体"/>
                <w:b w:val="0"/>
                <w:bCs w:val="0"/>
                <w:color w:val="auto"/>
                <w:kern w:val="2"/>
                <w:sz w:val="24"/>
                <w:szCs w:val="24"/>
                <w:highlight w:val="none"/>
                <w:lang w:val="en-US" w:eastAsia="zh-CN" w:bidi="ar-SA"/>
              </w:rPr>
            </w:pPr>
          </w:p>
        </w:tc>
      </w:tr>
      <w:tr w14:paraId="2F922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0DCEA82">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10468AA4">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092C6B79">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4A1AEF2B">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22424B7">
            <w:pPr>
              <w:pStyle w:val="7"/>
              <w:rPr>
                <w:rFonts w:hint="eastAsia" w:ascii="宋体" w:hAnsi="宋体" w:eastAsia="宋体" w:cs="宋体"/>
                <w:b w:val="0"/>
                <w:bCs w:val="0"/>
                <w:color w:val="auto"/>
                <w:kern w:val="2"/>
                <w:sz w:val="24"/>
                <w:szCs w:val="24"/>
                <w:highlight w:val="none"/>
                <w:lang w:val="en-US" w:eastAsia="zh-CN" w:bidi="ar-SA"/>
              </w:rPr>
            </w:pPr>
          </w:p>
        </w:tc>
      </w:tr>
      <w:tr w14:paraId="11EB8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16FE70D">
            <w:pPr>
              <w:pStyle w:val="7"/>
              <w:rPr>
                <w:rFonts w:hint="eastAsia" w:ascii="宋体" w:hAnsi="宋体" w:eastAsia="宋体" w:cs="宋体"/>
                <w:b w:val="0"/>
                <w:bCs w:val="0"/>
                <w:color w:val="auto"/>
                <w:kern w:val="2"/>
                <w:sz w:val="24"/>
                <w:szCs w:val="24"/>
                <w:highlight w:val="none"/>
                <w:lang w:val="en-US" w:eastAsia="zh-CN" w:bidi="ar-SA"/>
              </w:rPr>
            </w:pPr>
          </w:p>
        </w:tc>
        <w:tc>
          <w:tcPr>
            <w:tcW w:w="3541" w:type="dxa"/>
            <w:vAlign w:val="top"/>
          </w:tcPr>
          <w:p w14:paraId="796DAB4B">
            <w:pPr>
              <w:pStyle w:val="7"/>
              <w:rPr>
                <w:rFonts w:hint="eastAsia" w:ascii="宋体" w:hAnsi="宋体" w:eastAsia="宋体" w:cs="宋体"/>
                <w:b w:val="0"/>
                <w:bCs w:val="0"/>
                <w:color w:val="auto"/>
                <w:kern w:val="2"/>
                <w:sz w:val="24"/>
                <w:szCs w:val="24"/>
                <w:highlight w:val="none"/>
                <w:lang w:val="en-US" w:eastAsia="zh-CN" w:bidi="ar-SA"/>
              </w:rPr>
            </w:pPr>
          </w:p>
        </w:tc>
        <w:tc>
          <w:tcPr>
            <w:tcW w:w="1558" w:type="dxa"/>
            <w:vAlign w:val="top"/>
          </w:tcPr>
          <w:p w14:paraId="1548B1CD">
            <w:pPr>
              <w:pStyle w:val="7"/>
              <w:rPr>
                <w:rFonts w:hint="eastAsia" w:ascii="宋体" w:hAnsi="宋体" w:eastAsia="宋体" w:cs="宋体"/>
                <w:b w:val="0"/>
                <w:bCs w:val="0"/>
                <w:color w:val="auto"/>
                <w:kern w:val="2"/>
                <w:sz w:val="24"/>
                <w:szCs w:val="24"/>
                <w:highlight w:val="none"/>
                <w:lang w:val="en-US" w:eastAsia="zh-CN" w:bidi="ar-SA"/>
              </w:rPr>
            </w:pPr>
          </w:p>
        </w:tc>
        <w:tc>
          <w:tcPr>
            <w:tcW w:w="1133" w:type="dxa"/>
            <w:vAlign w:val="top"/>
          </w:tcPr>
          <w:p w14:paraId="2A98AAAA">
            <w:pPr>
              <w:pStyle w:val="7"/>
              <w:rPr>
                <w:rFonts w:hint="eastAsia" w:ascii="宋体" w:hAnsi="宋体" w:eastAsia="宋体" w:cs="宋体"/>
                <w:b w:val="0"/>
                <w:bCs w:val="0"/>
                <w:color w:val="auto"/>
                <w:kern w:val="2"/>
                <w:sz w:val="24"/>
                <w:szCs w:val="24"/>
                <w:highlight w:val="none"/>
                <w:lang w:val="en-US" w:eastAsia="zh-CN" w:bidi="ar-SA"/>
              </w:rPr>
            </w:pPr>
          </w:p>
        </w:tc>
        <w:tc>
          <w:tcPr>
            <w:tcW w:w="1138" w:type="dxa"/>
            <w:vAlign w:val="top"/>
          </w:tcPr>
          <w:p w14:paraId="65A1278D">
            <w:pPr>
              <w:pStyle w:val="7"/>
              <w:rPr>
                <w:rFonts w:hint="eastAsia" w:ascii="宋体" w:hAnsi="宋体" w:eastAsia="宋体" w:cs="宋体"/>
                <w:b w:val="0"/>
                <w:bCs w:val="0"/>
                <w:color w:val="auto"/>
                <w:kern w:val="2"/>
                <w:sz w:val="24"/>
                <w:szCs w:val="24"/>
                <w:highlight w:val="none"/>
                <w:lang w:val="en-US" w:eastAsia="zh-CN" w:bidi="ar-SA"/>
              </w:rPr>
            </w:pPr>
          </w:p>
        </w:tc>
      </w:tr>
      <w:tr w14:paraId="6E4E0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1ADE7DC2">
            <w:pPr>
              <w:spacing w:before="182" w:line="224" w:lineRule="auto"/>
              <w:ind w:left="2726"/>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共计     份，    页。</w:t>
            </w:r>
          </w:p>
        </w:tc>
      </w:tr>
    </w:tbl>
    <w:p w14:paraId="23D466C9">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color w:val="auto"/>
          <w:sz w:val="24"/>
          <w:szCs w:val="24"/>
          <w:highlight w:val="none"/>
        </w:rPr>
      </w:pPr>
    </w:p>
    <w:p w14:paraId="1E5FE82A">
      <w:pPr>
        <w:rPr>
          <w:rFonts w:hint="eastAsia" w:eastAsia="宋体"/>
          <w:b w:val="0"/>
          <w:bCs w:val="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07A56050"/>
    <w:rsid w:val="0AA94FA2"/>
    <w:rsid w:val="0BC75F01"/>
    <w:rsid w:val="10F20DDB"/>
    <w:rsid w:val="178766DD"/>
    <w:rsid w:val="18682441"/>
    <w:rsid w:val="1B32070E"/>
    <w:rsid w:val="1B827018"/>
    <w:rsid w:val="1CDD5749"/>
    <w:rsid w:val="1DC6338F"/>
    <w:rsid w:val="20001B0B"/>
    <w:rsid w:val="20054643"/>
    <w:rsid w:val="20125C72"/>
    <w:rsid w:val="246A2548"/>
    <w:rsid w:val="28292E99"/>
    <w:rsid w:val="28F33BD2"/>
    <w:rsid w:val="2B8C79C6"/>
    <w:rsid w:val="2F7013AD"/>
    <w:rsid w:val="31B859B9"/>
    <w:rsid w:val="33611C70"/>
    <w:rsid w:val="34807176"/>
    <w:rsid w:val="34AE2016"/>
    <w:rsid w:val="35727C2D"/>
    <w:rsid w:val="4622210B"/>
    <w:rsid w:val="53A72D40"/>
    <w:rsid w:val="560D2146"/>
    <w:rsid w:val="5AD22C85"/>
    <w:rsid w:val="5BEA6F89"/>
    <w:rsid w:val="5D9C58DF"/>
    <w:rsid w:val="65691DC6"/>
    <w:rsid w:val="661B6F68"/>
    <w:rsid w:val="6B910ACF"/>
    <w:rsid w:val="6F9957DB"/>
    <w:rsid w:val="702E1BFC"/>
    <w:rsid w:val="758E56B6"/>
    <w:rsid w:val="761B33ED"/>
    <w:rsid w:val="799004E1"/>
    <w:rsid w:val="7AC80551"/>
    <w:rsid w:val="7C8B5701"/>
    <w:rsid w:val="7D273C22"/>
    <w:rsid w:val="7D806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semiHidden/>
    <w:qFormat/>
    <w:uiPriority w:val="0"/>
    <w:pPr>
      <w:widowControl w:val="0"/>
      <w:jc w:val="both"/>
    </w:pPr>
    <w:rPr>
      <w:rFonts w:ascii="Arial" w:hAnsi="Arial" w:eastAsia="Arial" w:cs="Arial"/>
      <w:kern w:val="2"/>
      <w:sz w:val="21"/>
      <w:szCs w:val="21"/>
      <w:lang w:val="en-US" w:eastAsia="en-US" w:bidi="ar-SA"/>
    </w:rPr>
  </w:style>
  <w:style w:type="paragraph" w:customStyle="1" w:styleId="8">
    <w:name w:val="正文表格"/>
    <w:autoRedefine/>
    <w:qFormat/>
    <w:uiPriority w:val="0"/>
    <w:pPr>
      <w:widowControl w:val="0"/>
      <w:spacing w:before="60" w:after="60"/>
      <w:jc w:val="both"/>
    </w:pPr>
    <w:rPr>
      <w:rFonts w:ascii="Calibri" w:hAnsi="Calibri" w:eastAsia="宋体"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3734</Words>
  <Characters>3855</Characters>
  <Lines>0</Lines>
  <Paragraphs>0</Paragraphs>
  <TotalTime>0</TotalTime>
  <ScaleCrop>false</ScaleCrop>
  <LinksUpToDate>false</LinksUpToDate>
  <CharactersWithSpaces>4921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东方农交、文小蝶18289697995</cp:lastModifiedBy>
  <dcterms:modified xsi:type="dcterms:W3CDTF">2026-06-24T07:16:07Z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E3B0E525073745399099A49EFB1175C3_13</vt:lpwstr>
  </property>
  <property fmtid="{D5CDD505-2E9C-101B-9397-08002B2CF9AE}" pid="4" name="KSOTemplateDocerSaveRecord">
    <vt:lpwstr>eyJoZGlkIjoiY2JlY2VhNmU4ODJlYzJjNGMzMGFkODQ5NjJhOTg3YTAiLCJ1c2VySWQiOiIxMTU5NDczNTczIn0=</vt:lpwstr>
  </property>
</Properties>
</file>