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0910"/>
      <w:bookmarkStart w:id="2" w:name="_Toc24454"/>
      <w:bookmarkStart w:id="3" w:name="_Toc15737"/>
      <w:bookmarkStart w:id="4" w:name="_Toc21422"/>
      <w:bookmarkStart w:id="5" w:name="_Toc21762"/>
      <w:bookmarkStart w:id="6" w:name="_Toc11918"/>
      <w:bookmarkStart w:id="7" w:name="_Toc25712"/>
      <w:bookmarkStart w:id="8" w:name="_Toc24727"/>
      <w:bookmarkStart w:id="9" w:name="_Toc8396"/>
      <w:bookmarkStart w:id="10" w:name="_Toc12789"/>
      <w:bookmarkStart w:id="11" w:name="_Toc24068"/>
      <w:bookmarkStart w:id="12" w:name="_Toc7615"/>
      <w:bookmarkStart w:id="13" w:name="_Toc20033"/>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2774元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2769"/>
        <w:gridCol w:w="2770"/>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昌江县石碌镇山竹沟村27.74亩集体果园地出租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27.74亩</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13870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07-09</w:t>
      </w:r>
      <w:bookmarkStart w:id="35" w:name="_GoBack"/>
      <w:bookmarkEnd w:id="35"/>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4469"/>
      <w:bookmarkStart w:id="28" w:name="_Toc4580"/>
      <w:bookmarkStart w:id="29" w:name="_Toc29841"/>
      <w:bookmarkStart w:id="30" w:name="_Toc12264"/>
      <w:bookmarkStart w:id="31" w:name="_Toc11237"/>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545A5C5">
      <w:pPr>
        <w:spacing w:line="570" w:lineRule="exact"/>
        <w:jc w:val="center"/>
        <w:rPr>
          <w:rFonts w:hint="eastAsia" w:ascii="Noto Sans SC" w:hAnsi="Noto Sans SC" w:eastAsia="Noto Sans SC" w:cs="Noto Sans SC"/>
          <w:b/>
          <w:bCs/>
          <w:i w:val="0"/>
          <w:iCs w:val="0"/>
          <w:caps w:val="0"/>
          <w:color w:val="C00000"/>
          <w:spacing w:val="0"/>
          <w:sz w:val="36"/>
          <w:szCs w:val="36"/>
        </w:rPr>
      </w:pPr>
      <w:r>
        <w:rPr>
          <w:rFonts w:hint="eastAsia" w:ascii="Noto Sans SC" w:hAnsi="Noto Sans SC" w:eastAsia="Noto Sans SC" w:cs="Noto Sans SC"/>
          <w:b/>
          <w:bCs/>
          <w:i w:val="0"/>
          <w:iCs w:val="0"/>
          <w:caps w:val="0"/>
          <w:color w:val="C00000"/>
          <w:spacing w:val="0"/>
          <w:sz w:val="36"/>
          <w:szCs w:val="36"/>
        </w:rPr>
        <w:t>昌江县石碌镇山竹沟村27.74亩集体果园地出租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Noto Sans SC" w:hAnsi="Noto Sans SC" w:eastAsia="Noto Sans SC" w:cs="Noto Sans SC"/>
          <w:i w:val="0"/>
          <w:iCs w:val="0"/>
          <w:caps w:val="0"/>
          <w:color w:val="C00000"/>
          <w:spacing w:val="0"/>
          <w:sz w:val="27"/>
          <w:szCs w:val="27"/>
          <w:lang w:val="en-US" w:eastAsia="zh-CN"/>
        </w:rPr>
        <w:t>昌江黎族自治县石碌镇山竹沟村委会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昌江县石碌镇山竹沟村27.74亩集体果园地出租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昌江县石碌镇山竹沟村27.74亩集体果园地出租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2476"/>
        <w:gridCol w:w="2769"/>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Noto Sans SC" w:hAnsi="Noto Sans SC" w:eastAsia="Noto Sans SC" w:cs="Noto Sans SC"/>
                <w:i w:val="0"/>
                <w:iCs w:val="0"/>
                <w:caps w:val="0"/>
                <w:color w:val="C00000"/>
                <w:spacing w:val="0"/>
                <w:sz w:val="27"/>
                <w:szCs w:val="27"/>
              </w:rPr>
            </w:pPr>
            <w:r>
              <w:rPr>
                <w:rFonts w:hint="eastAsia" w:ascii="Noto Sans SC" w:hAnsi="Noto Sans SC" w:eastAsia="Noto Sans SC" w:cs="Noto Sans SC"/>
                <w:i w:val="0"/>
                <w:iCs w:val="0"/>
                <w:caps w:val="0"/>
                <w:color w:val="C00000"/>
                <w:spacing w:val="0"/>
                <w:sz w:val="27"/>
                <w:szCs w:val="27"/>
              </w:rPr>
              <w:t>昌江县石碌镇山竹沟村27.74亩集体果园地出租</w:t>
            </w:r>
          </w:p>
          <w:p w14:paraId="2374CAD8">
            <w:pPr>
              <w:spacing w:line="240" w:lineRule="auto"/>
              <w:rPr>
                <w:rFonts w:hint="eastAsia" w:ascii="Noto Sans SC" w:hAnsi="Noto Sans SC" w:eastAsia="Noto Sans SC" w:cs="Noto Sans SC"/>
                <w:i w:val="0"/>
                <w:iCs w:val="0"/>
                <w:caps w:val="0"/>
                <w:color w:val="C00000"/>
                <w:spacing w:val="0"/>
                <w:sz w:val="27"/>
                <w:szCs w:val="27"/>
                <w:lang w:eastAsia="zh-CN"/>
              </w:rPr>
            </w:pP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27.74亩</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13870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default" w:ascii="宋体" w:hAnsi="宋体" w:eastAsia="宋体" w:cs="宋体"/>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宋体" w:hAnsi="宋体" w:eastAsia="宋体" w:cs="宋体"/>
          <w:color w:val="C00000"/>
          <w:sz w:val="28"/>
          <w:szCs w:val="28"/>
        </w:rPr>
        <w:t>租金一</w:t>
      </w:r>
      <w:r>
        <w:rPr>
          <w:rFonts w:hint="eastAsia" w:ascii="宋体" w:hAnsi="宋体" w:eastAsia="宋体" w:cs="宋体"/>
          <w:color w:val="C00000"/>
          <w:sz w:val="28"/>
          <w:szCs w:val="28"/>
          <w:lang w:val="en-US" w:eastAsia="zh-CN"/>
        </w:rPr>
        <w:t>年</w:t>
      </w:r>
      <w:r>
        <w:rPr>
          <w:rFonts w:hint="eastAsia" w:ascii="宋体" w:hAnsi="宋体" w:eastAsia="宋体" w:cs="宋体"/>
          <w:color w:val="C00000"/>
          <w:sz w:val="28"/>
          <w:szCs w:val="28"/>
        </w:rPr>
        <w:t>付一，</w:t>
      </w:r>
      <w:r>
        <w:rPr>
          <w:rFonts w:hint="eastAsia" w:ascii="宋体" w:hAnsi="宋体" w:eastAsia="宋体" w:cs="宋体"/>
          <w:color w:val="C00000"/>
          <w:sz w:val="28"/>
          <w:szCs w:val="28"/>
          <w:lang w:val="en-US" w:eastAsia="zh-CN"/>
        </w:rPr>
        <w:t>每5年递增10%</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FF0000"/>
          <w:sz w:val="28"/>
          <w:szCs w:val="28"/>
          <w:lang w:val="en-US" w:eastAsia="zh-CN"/>
        </w:rPr>
        <w:t>陆丽丽</w:t>
      </w:r>
      <w:r>
        <w:rPr>
          <w:rFonts w:hint="eastAsia" w:ascii="宋体" w:hAnsi="宋体" w:eastAsia="宋体" w:cs="宋体"/>
          <w:color w:val="C00000"/>
          <w:sz w:val="28"/>
          <w:szCs w:val="28"/>
          <w:lang w:val="en-US" w:eastAsia="zh-CN"/>
        </w:rPr>
        <w:t xml:space="preserve"> 13976507641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5816ED0"/>
    <w:rsid w:val="16C136E5"/>
    <w:rsid w:val="16D93709"/>
    <w:rsid w:val="16F313DB"/>
    <w:rsid w:val="17FB2365"/>
    <w:rsid w:val="18E10F33"/>
    <w:rsid w:val="1A0C35CC"/>
    <w:rsid w:val="1A525566"/>
    <w:rsid w:val="1A626F8D"/>
    <w:rsid w:val="1AEE2186"/>
    <w:rsid w:val="1B3E3557"/>
    <w:rsid w:val="1B746D6A"/>
    <w:rsid w:val="1C5B3C94"/>
    <w:rsid w:val="1CE74D57"/>
    <w:rsid w:val="1E22432A"/>
    <w:rsid w:val="205C18F7"/>
    <w:rsid w:val="20BE4E97"/>
    <w:rsid w:val="2163678E"/>
    <w:rsid w:val="21C05471"/>
    <w:rsid w:val="221A4D5F"/>
    <w:rsid w:val="22D95415"/>
    <w:rsid w:val="23C4301C"/>
    <w:rsid w:val="24991461"/>
    <w:rsid w:val="2741574C"/>
    <w:rsid w:val="27AC72CB"/>
    <w:rsid w:val="28BE3B5A"/>
    <w:rsid w:val="299D24D0"/>
    <w:rsid w:val="29A96C5C"/>
    <w:rsid w:val="2B0A5203"/>
    <w:rsid w:val="2B7C7FBF"/>
    <w:rsid w:val="2BE624E0"/>
    <w:rsid w:val="2C097269"/>
    <w:rsid w:val="2C765212"/>
    <w:rsid w:val="2CDD41DE"/>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6C32BE"/>
    <w:rsid w:val="3EE84C2D"/>
    <w:rsid w:val="3F220916"/>
    <w:rsid w:val="3F326C78"/>
    <w:rsid w:val="40176161"/>
    <w:rsid w:val="41CD32EE"/>
    <w:rsid w:val="42437F00"/>
    <w:rsid w:val="42EC1909"/>
    <w:rsid w:val="43315BEC"/>
    <w:rsid w:val="43AD1C7C"/>
    <w:rsid w:val="4486772E"/>
    <w:rsid w:val="44912C24"/>
    <w:rsid w:val="452F78E8"/>
    <w:rsid w:val="477C493B"/>
    <w:rsid w:val="47C03328"/>
    <w:rsid w:val="48350522"/>
    <w:rsid w:val="48F422BB"/>
    <w:rsid w:val="4A7A6DBA"/>
    <w:rsid w:val="4AEC6108"/>
    <w:rsid w:val="4BF54CBC"/>
    <w:rsid w:val="4C122427"/>
    <w:rsid w:val="4CD73773"/>
    <w:rsid w:val="4D440E1C"/>
    <w:rsid w:val="4DC33073"/>
    <w:rsid w:val="4E3F7559"/>
    <w:rsid w:val="4ECE0172"/>
    <w:rsid w:val="50804CA1"/>
    <w:rsid w:val="51516E47"/>
    <w:rsid w:val="57922D81"/>
    <w:rsid w:val="5BD329C8"/>
    <w:rsid w:val="5CF93C67"/>
    <w:rsid w:val="603256F9"/>
    <w:rsid w:val="62920BC0"/>
    <w:rsid w:val="63163A3E"/>
    <w:rsid w:val="637A7D59"/>
    <w:rsid w:val="639B14F1"/>
    <w:rsid w:val="64515E2E"/>
    <w:rsid w:val="64D61FAB"/>
    <w:rsid w:val="67687C4A"/>
    <w:rsid w:val="68790CF7"/>
    <w:rsid w:val="69A739D7"/>
    <w:rsid w:val="69F053C4"/>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7702DD"/>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3599</Words>
  <Characters>3736</Characters>
  <Lines>59</Lines>
  <Paragraphs>16</Paragraphs>
  <TotalTime>5</TotalTime>
  <ScaleCrop>false</ScaleCrop>
  <LinksUpToDate>false</LinksUpToDate>
  <CharactersWithSpaces>3738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2026-06-10T06:57:00Z</cp:lastPrinted>
  <dcterms:modified xsi:type="dcterms:W3CDTF">2026-06-30T09:04:06Z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27D3E66CEC0B4B89B9E967E3EAD15BF2_13</vt:lpwstr>
  </property>
  <property fmtid="{D5CDD505-2E9C-101B-9397-08002B2CF9AE}" pid="4" name="KSOTemplateDocerSaveRecord">
    <vt:lpwstr>eyJoZGlkIjoiYTIzNGY0NTExZGE2YmMxYjkwYzZiOGM3YjRmYTk2OTAiLCJ1c2VySWQiOiI5Nzg5NTQ0MzIifQ==</vt:lpwstr>
  </property>
</Properties>
</file>