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499F6A">
      <w:pPr>
        <w:pStyle w:val="3"/>
        <w:spacing w:line="240" w:lineRule="auto"/>
        <w:jc w:val="center"/>
        <w:rPr>
          <w:rFonts w:ascii="黑体" w:hAnsi="黑体"/>
          <w:color w:val="auto"/>
        </w:rPr>
      </w:pPr>
      <w:bookmarkStart w:id="0" w:name="_Toc21422"/>
      <w:bookmarkStart w:id="1" w:name="_Toc11918"/>
      <w:bookmarkStart w:id="2" w:name="_Toc15737"/>
      <w:bookmarkStart w:id="3" w:name="_Toc24454"/>
      <w:bookmarkStart w:id="4" w:name="_Toc20910"/>
      <w:bookmarkStart w:id="5" w:name="_Toc21762"/>
      <w:bookmarkStart w:id="6" w:name="_Toc32320"/>
      <w:bookmarkStart w:id="7" w:name="_Toc24068"/>
      <w:bookmarkStart w:id="8" w:name="_Toc25712"/>
      <w:bookmarkStart w:id="9" w:name="_Toc12789"/>
      <w:bookmarkStart w:id="10" w:name="_Toc8396"/>
      <w:bookmarkStart w:id="11" w:name="_Toc20033"/>
      <w:bookmarkStart w:id="12" w:name="_Toc13462"/>
      <w:bookmarkStart w:id="13" w:name="_Toc29002"/>
      <w:bookmarkStart w:id="14" w:name="_Toc7615"/>
      <w:bookmarkStart w:id="15" w:name="_Toc24727"/>
      <w:r>
        <w:rPr>
          <w:rFonts w:hint="eastAsia" w:ascii="黑体" w:hAnsi="黑体"/>
          <w:color w:val="auto"/>
        </w:rPr>
        <w:t>网络竞价须知</w:t>
      </w:r>
      <w:bookmarkEnd w:id="0"/>
      <w:bookmarkEnd w:id="1"/>
      <w:bookmarkEnd w:id="2"/>
      <w:bookmarkEnd w:id="3"/>
      <w:bookmarkEnd w:id="4"/>
      <w:bookmarkEnd w:id="5"/>
      <w:bookmarkEnd w:id="6"/>
    </w:p>
    <w:p w14:paraId="485CDA5E">
      <w:pPr>
        <w:numPr>
          <w:ilvl w:val="0"/>
          <w:numId w:val="1"/>
        </w:numPr>
        <w:spacing w:line="520" w:lineRule="exact"/>
        <w:rPr>
          <w:rFonts w:ascii="新宋体" w:hAnsi="新宋体" w:eastAsia="新宋体"/>
          <w:color w:val="auto"/>
          <w:sz w:val="28"/>
          <w:szCs w:val="28"/>
        </w:rPr>
      </w:pPr>
      <w:r>
        <w:rPr>
          <w:rFonts w:hint="eastAsia" w:ascii="新宋体" w:hAnsi="新宋体" w:eastAsia="新宋体"/>
          <w:b w:val="0"/>
          <w:bCs w:val="0"/>
          <w:color w:val="auto"/>
          <w:sz w:val="28"/>
          <w:szCs w:val="28"/>
          <w:u w:val="single"/>
          <w:lang w:val="en-US" w:eastAsia="zh-CN"/>
        </w:rPr>
        <w:t xml:space="preserve">屯昌县南坤镇坤明路74、76号78.4㎡铺面出租                   </w:t>
      </w:r>
      <w:r>
        <w:rPr>
          <w:rFonts w:hint="eastAsia" w:ascii="新宋体" w:hAnsi="新宋体" w:eastAsia="新宋体"/>
          <w:b w:val="0"/>
          <w:bCs w:val="0"/>
          <w:color w:val="auto"/>
          <w:sz w:val="28"/>
          <w:szCs w:val="28"/>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屯昌</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中心</w:t>
      </w:r>
      <w:r>
        <w:rPr>
          <w:rFonts w:hint="eastAsia" w:ascii="新宋体" w:hAnsi="新宋体" w:eastAsia="新宋体"/>
          <w:color w:val="auto"/>
          <w:sz w:val="28"/>
          <w:szCs w:val="28"/>
        </w:rPr>
        <w:t>交易规则（试行）》、《</w:t>
      </w:r>
      <w:r>
        <w:rPr>
          <w:rFonts w:hint="eastAsia" w:ascii="新宋体" w:hAnsi="新宋体" w:eastAsia="新宋体"/>
          <w:color w:val="auto"/>
          <w:sz w:val="28"/>
          <w:szCs w:val="28"/>
          <w:lang w:val="en-US" w:eastAsia="zh-CN"/>
        </w:rPr>
        <w:t>屯昌</w:t>
      </w:r>
      <w:r>
        <w:rPr>
          <w:rFonts w:hint="eastAsia" w:ascii="新宋体" w:hAnsi="新宋体" w:eastAsia="新宋体"/>
          <w:color w:val="auto"/>
          <w:sz w:val="28"/>
          <w:szCs w:val="28"/>
        </w:rPr>
        <w:t>农村产权交易服务平台网络竞价实施办法（试行）》及有关法律、法规的规定，制定本交易须知。</w:t>
      </w:r>
    </w:p>
    <w:p w14:paraId="5C1F74C4">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b w:val="0"/>
          <w:bCs w:val="0"/>
          <w:color w:val="auto"/>
          <w:sz w:val="28"/>
          <w:szCs w:val="28"/>
        </w:rPr>
        <w:t>1、</w:t>
      </w:r>
      <w:r>
        <w:rPr>
          <w:rFonts w:hint="eastAsia" w:ascii="新宋体" w:hAnsi="新宋体" w:eastAsia="新宋体" w:cs="Times New Roman"/>
          <w:b/>
          <w:bCs/>
          <w:color w:val="auto"/>
          <w:sz w:val="28"/>
          <w:szCs w:val="28"/>
        </w:rPr>
        <w:t>凡参加平台网络竞价的竞买方必须遵守本交易须知、平台有关交易规则以及有关法律法规。</w:t>
      </w:r>
    </w:p>
    <w:p w14:paraId="316194BF">
      <w:pPr>
        <w:spacing w:line="520" w:lineRule="exact"/>
        <w:ind w:left="0" w:leftChars="0" w:firstLine="560" w:firstLineChars="200"/>
        <w:jc w:val="left"/>
        <w:rPr>
          <w:rFonts w:ascii="新宋体" w:hAnsi="新宋体" w:eastAsia="新宋体" w:cs="Times New Roman"/>
          <w:b/>
          <w:bCs/>
          <w:color w:val="auto"/>
          <w:sz w:val="28"/>
          <w:szCs w:val="28"/>
        </w:rPr>
      </w:pPr>
      <w:r>
        <w:rPr>
          <w:rFonts w:hint="eastAsia" w:ascii="新宋体" w:hAnsi="新宋体" w:eastAsia="新宋体" w:cs="Times New Roman"/>
          <w:b w:val="0"/>
          <w:bCs w:val="0"/>
          <w:color w:val="auto"/>
          <w:sz w:val="28"/>
          <w:szCs w:val="28"/>
        </w:rPr>
        <w:t>2、</w:t>
      </w:r>
      <w:r>
        <w:rPr>
          <w:rFonts w:hint="eastAsia" w:ascii="新宋体" w:hAnsi="新宋体" w:eastAsia="新宋体" w:cs="Times New Roman"/>
          <w:b/>
          <w:bCs/>
          <w:color w:val="auto"/>
          <w:sz w:val="28"/>
          <w:szCs w:val="28"/>
          <w:lang w:val="en-US" w:eastAsia="zh-CN"/>
        </w:rPr>
        <w:t>屯昌</w:t>
      </w:r>
      <w:r>
        <w:rPr>
          <w:rFonts w:hint="eastAsia" w:ascii="新宋体" w:hAnsi="新宋体" w:eastAsia="新宋体" w:cs="Times New Roman"/>
          <w:b/>
          <w:bCs/>
          <w:color w:val="auto"/>
          <w:sz w:val="28"/>
          <w:szCs w:val="28"/>
        </w:rPr>
        <w:t>农村产权</w:t>
      </w:r>
      <w:r>
        <w:rPr>
          <w:rFonts w:hint="eastAsia" w:ascii="新宋体" w:hAnsi="新宋体" w:eastAsia="新宋体" w:cs="Times New Roman"/>
          <w:b/>
          <w:bCs/>
          <w:color w:val="auto"/>
          <w:sz w:val="28"/>
          <w:szCs w:val="28"/>
          <w:lang w:val="en-US" w:eastAsia="zh-CN"/>
        </w:rPr>
        <w:t>流转</w:t>
      </w:r>
      <w:r>
        <w:rPr>
          <w:rFonts w:hint="eastAsia" w:ascii="新宋体" w:hAnsi="新宋体" w:eastAsia="新宋体" w:cs="Times New Roman"/>
          <w:b/>
          <w:bCs/>
          <w:color w:val="auto"/>
          <w:sz w:val="28"/>
          <w:szCs w:val="28"/>
        </w:rPr>
        <w:t>交易服务平台</w:t>
      </w:r>
      <w:r>
        <w:rPr>
          <w:rFonts w:hint="eastAsia" w:ascii="新宋体" w:hAnsi="新宋体" w:eastAsia="新宋体" w:cs="Times New Roman"/>
          <w:b w:val="0"/>
          <w:bCs w:val="0"/>
          <w:color w:val="auto"/>
          <w:sz w:val="28"/>
          <w:szCs w:val="28"/>
        </w:rPr>
        <w:t>（</w:t>
      </w:r>
      <w:r>
        <w:rPr>
          <w:rFonts w:hint="eastAsia" w:ascii="新宋体" w:hAnsi="新宋体" w:eastAsia="新宋体" w:cs="Times New Roman"/>
          <w:b/>
          <w:bCs/>
          <w:color w:val="auto"/>
          <w:sz w:val="28"/>
          <w:szCs w:val="28"/>
        </w:rPr>
        <w:t>https://tunchang.nongjiao.com/</w:t>
      </w:r>
      <w:r>
        <w:rPr>
          <w:rFonts w:hint="eastAsia" w:ascii="新宋体" w:hAnsi="新宋体" w:eastAsia="新宋体" w:cs="Times New Roman"/>
          <w:b w:val="0"/>
          <w:bCs w:val="0"/>
          <w:color w:val="auto"/>
          <w:sz w:val="28"/>
          <w:szCs w:val="28"/>
        </w:rPr>
        <w:t>，以下简称“平台”）为指定的交易平台，竞买方应通过平台参与标的竞拍活动。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w:t>
      </w:r>
      <w:r>
        <w:rPr>
          <w:rFonts w:hint="eastAsia" w:ascii="新宋体" w:hAnsi="新宋体" w:eastAsia="新宋体" w:cs="Times New Roman"/>
          <w:b/>
          <w:bCs/>
          <w:color w:val="auto"/>
          <w:sz w:val="28"/>
          <w:szCs w:val="28"/>
        </w:rPr>
        <w:t>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6B25D737">
      <w:pPr>
        <w:spacing w:line="520" w:lineRule="exact"/>
        <w:ind w:firstLine="560" w:firstLineChars="200"/>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w:t>
      </w:r>
    </w:p>
    <w:p w14:paraId="63CAC3F9">
      <w:pPr>
        <w:spacing w:line="520" w:lineRule="exact"/>
        <w:ind w:firstLine="560" w:firstLineChars="200"/>
        <w:rPr>
          <w:rFonts w:hint="eastAsia" w:ascii="新宋体" w:hAnsi="新宋体" w:eastAsia="新宋体" w:cs="Times New Roman"/>
          <w:b/>
          <w:bCs/>
          <w:color w:val="auto"/>
          <w:sz w:val="28"/>
          <w:szCs w:val="28"/>
          <w:lang w:eastAsia="zh-CN"/>
        </w:rPr>
      </w:pPr>
      <w:r>
        <w:rPr>
          <w:rFonts w:hint="eastAsia" w:ascii="新宋体" w:hAnsi="新宋体" w:eastAsia="新宋体" w:cs="Times New Roman"/>
          <w:color w:val="auto"/>
          <w:sz w:val="28"/>
          <w:szCs w:val="28"/>
        </w:rPr>
        <w:t>5、</w:t>
      </w:r>
      <w:r>
        <w:rPr>
          <w:rFonts w:hint="eastAsia" w:ascii="新宋体" w:hAnsi="新宋体" w:eastAsia="新宋体" w:cs="Times New Roman"/>
          <w:b/>
          <w:bCs/>
          <w:color w:val="auto"/>
          <w:sz w:val="28"/>
          <w:szCs w:val="28"/>
        </w:rPr>
        <w:t>竞买申请方一旦提交竞买报名，即视为其已完全了解标的物的相关情况、认可标的交易公告及附件的全部内容、对标的现状无异议、同意遵守平台有关交易规则和交易须知</w:t>
      </w:r>
      <w:r>
        <w:rPr>
          <w:rFonts w:hint="eastAsia" w:ascii="新宋体" w:hAnsi="新宋体" w:eastAsia="新宋体" w:cs="Times New Roman"/>
          <w:b/>
          <w:bCs/>
          <w:color w:val="auto"/>
          <w:sz w:val="28"/>
          <w:szCs w:val="28"/>
          <w:lang w:eastAsia="zh-CN"/>
        </w:rPr>
        <w:t>，</w:t>
      </w:r>
      <w:r>
        <w:rPr>
          <w:rFonts w:hint="eastAsia" w:ascii="新宋体" w:hAnsi="新宋体" w:eastAsia="新宋体" w:cs="Times New Roman"/>
          <w:b/>
          <w:bCs/>
          <w:color w:val="auto"/>
          <w:sz w:val="28"/>
          <w:szCs w:val="28"/>
        </w:rPr>
        <w:t>对竞价成功后的《标的竞得书》及合同的签署均无异议。</w:t>
      </w:r>
    </w:p>
    <w:p w14:paraId="3AD576C8">
      <w:pPr>
        <w:numPr>
          <w:ilvl w:val="0"/>
          <w:numId w:val="1"/>
        </w:numPr>
        <w:spacing w:line="520" w:lineRule="exact"/>
      </w:pPr>
      <w:r>
        <w:rPr>
          <w:rFonts w:hint="eastAsia" w:ascii="新宋体" w:hAnsi="新宋体" w:eastAsia="新宋体" w:cs="Times New Roman"/>
          <w:b w:val="0"/>
          <w:bCs w:val="0"/>
          <w:color w:val="auto"/>
          <w:sz w:val="28"/>
          <w:szCs w:val="28"/>
        </w:rPr>
        <w:t>竞买申请方应当于</w:t>
      </w:r>
      <w:r>
        <w:rPr>
          <w:rFonts w:hint="eastAsia" w:ascii="新宋体" w:hAnsi="新宋体" w:eastAsia="新宋体" w:cs="Times New Roman"/>
          <w:b w:val="0"/>
          <w:bCs w:val="0"/>
          <w:color w:val="auto"/>
          <w:sz w:val="28"/>
          <w:szCs w:val="28"/>
          <w:u w:val="single"/>
          <w:lang w:val="en-US" w:eastAsia="zh-CN"/>
        </w:rPr>
        <w:t>2026/7/22 16:00:00</w:t>
      </w:r>
      <w:r>
        <w:rPr>
          <w:rFonts w:hint="eastAsia" w:ascii="新宋体" w:hAnsi="新宋体" w:eastAsia="新宋体" w:cs="Times New Roman"/>
          <w:b w:val="0"/>
          <w:bCs w:val="0"/>
          <w:color w:val="auto"/>
          <w:sz w:val="28"/>
          <w:szCs w:val="28"/>
        </w:rPr>
        <w:t>前签署并向平台提交本次网络竞价</w:t>
      </w:r>
      <w:r>
        <w:rPr>
          <w:rFonts w:hint="eastAsia" w:ascii="新宋体" w:hAnsi="新宋体" w:eastAsia="新宋体" w:cs="Times New Roman"/>
          <w:b/>
          <w:bCs/>
          <w:color w:val="auto"/>
          <w:sz w:val="28"/>
          <w:szCs w:val="28"/>
        </w:rPr>
        <w:t>《网络竞价须知》《网络竞价承诺函》</w:t>
      </w:r>
      <w:r>
        <w:rPr>
          <w:rFonts w:hint="eastAsia" w:ascii="新宋体" w:hAnsi="新宋体" w:eastAsia="新宋体" w:cs="Times New Roman"/>
          <w:b w:val="0"/>
          <w:bCs w:val="0"/>
          <w:color w:val="auto"/>
          <w:sz w:val="28"/>
          <w:szCs w:val="28"/>
        </w:rPr>
        <w:t>等竞价文件，</w:t>
      </w:r>
      <w:r>
        <w:rPr>
          <w:rFonts w:hint="eastAsia" w:ascii="新宋体" w:hAnsi="新宋体" w:eastAsia="新宋体" w:cs="Times New Roman"/>
          <w:color w:val="auto"/>
          <w:sz w:val="28"/>
          <w:szCs w:val="28"/>
        </w:rPr>
        <w:t>平台审核通过后，交纳交易保证金（交易保证金金额一般为意向标的物起拍价</w:t>
      </w:r>
      <w:r>
        <w:rPr>
          <w:rFonts w:hint="eastAsia" w:ascii="新宋体" w:hAnsi="新宋体" w:eastAsia="新宋体" w:cs="Times New Roman"/>
          <w:color w:val="auto"/>
          <w:sz w:val="28"/>
          <w:szCs w:val="28"/>
          <w:lang w:val="en-US" w:eastAsia="zh-CN"/>
        </w:rPr>
        <w:t>的</w:t>
      </w:r>
      <w:r>
        <w:rPr>
          <w:rFonts w:hint="eastAsia" w:ascii="新宋体" w:hAnsi="新宋体" w:eastAsia="新宋体" w:cs="Times New Roman"/>
          <w:color w:val="auto"/>
          <w:sz w:val="28"/>
          <w:szCs w:val="28"/>
        </w:rPr>
        <w:t>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val="0"/>
          <w:bCs w:val="0"/>
          <w:color w:val="auto"/>
          <w:sz w:val="28"/>
          <w:szCs w:val="28"/>
        </w:rPr>
        <w:t>竞买申请方</w:t>
      </w:r>
      <w:r>
        <w:rPr>
          <w:rFonts w:hint="eastAsia" w:ascii="新宋体" w:hAnsi="新宋体" w:eastAsia="新宋体" w:cs="Times New Roman"/>
          <w:b/>
          <w:bCs/>
          <w:color w:val="auto"/>
          <w:sz w:val="28"/>
          <w:szCs w:val="28"/>
        </w:rPr>
        <w:t>必须用本人的银行账户（单位用户须用本单位公户）</w:t>
      </w:r>
      <w:r>
        <w:rPr>
          <w:rFonts w:hint="eastAsia" w:ascii="新宋体" w:hAnsi="新宋体" w:eastAsia="新宋体" w:cs="Times New Roman"/>
          <w:b w:val="0"/>
          <w:bCs w:val="0"/>
          <w:color w:val="auto"/>
          <w:sz w:val="28"/>
          <w:szCs w:val="28"/>
        </w:rPr>
        <w:t>通过网银、手机银行、柜台转账等方式</w:t>
      </w:r>
      <w:r>
        <w:rPr>
          <w:rFonts w:hint="eastAsia" w:ascii="新宋体" w:hAnsi="新宋体" w:eastAsia="新宋体" w:cs="Times New Roman"/>
          <w:b w:val="0"/>
          <w:bCs w:val="0"/>
          <w:color w:val="auto"/>
          <w:sz w:val="28"/>
          <w:szCs w:val="28"/>
          <w:lang w:val="en-US" w:eastAsia="zh-CN"/>
        </w:rPr>
        <w:t>将</w:t>
      </w:r>
      <w:r>
        <w:rPr>
          <w:rFonts w:hint="eastAsia" w:ascii="新宋体" w:hAnsi="新宋体" w:eastAsia="新宋体" w:cs="Times New Roman"/>
          <w:b w:val="0"/>
          <w:bCs w:val="0"/>
          <w:color w:val="auto"/>
          <w:sz w:val="28"/>
          <w:szCs w:val="28"/>
        </w:rPr>
        <w:t>交易保证金款项存入平台交易保证金结算账户，方</w:t>
      </w:r>
      <w:r>
        <w:rPr>
          <w:rFonts w:hint="eastAsia" w:ascii="新宋体" w:hAnsi="新宋体" w:eastAsia="新宋体" w:cs="Times New Roman"/>
          <w:b w:val="0"/>
          <w:bCs w:val="0"/>
          <w:color w:val="auto"/>
          <w:sz w:val="28"/>
          <w:szCs w:val="28"/>
          <w:lang w:val="en-US" w:eastAsia="zh-CN"/>
        </w:rPr>
        <w:t>可</w:t>
      </w:r>
      <w:r>
        <w:rPr>
          <w:rFonts w:hint="eastAsia" w:ascii="新宋体" w:hAnsi="新宋体" w:eastAsia="新宋体" w:cs="Times New Roman"/>
          <w:b w:val="0"/>
          <w:bCs w:val="0"/>
          <w:color w:val="auto"/>
          <w:sz w:val="28"/>
          <w:szCs w:val="28"/>
        </w:rPr>
        <w:t>取得竞拍资格。</w:t>
      </w:r>
    </w:p>
    <w:tbl>
      <w:tblPr>
        <w:tblStyle w:val="12"/>
        <w:tblW w:w="9016" w:type="dxa"/>
        <w:jc w:val="center"/>
        <w:tblLayout w:type="fixed"/>
        <w:tblCellMar>
          <w:top w:w="0" w:type="dxa"/>
          <w:left w:w="108" w:type="dxa"/>
          <w:bottom w:w="0" w:type="dxa"/>
          <w:right w:w="108" w:type="dxa"/>
        </w:tblCellMar>
      </w:tblPr>
      <w:tblGrid>
        <w:gridCol w:w="1628"/>
        <w:gridCol w:w="7388"/>
      </w:tblGrid>
      <w:tr w14:paraId="6313BC34">
        <w:tblPrEx>
          <w:tblCellMar>
            <w:top w:w="0" w:type="dxa"/>
            <w:left w:w="108" w:type="dxa"/>
            <w:bottom w:w="0" w:type="dxa"/>
            <w:right w:w="108" w:type="dxa"/>
          </w:tblCellMar>
        </w:tblPrEx>
        <w:trPr>
          <w:trHeight w:val="600" w:hRule="atLeast"/>
          <w:jc w:val="center"/>
        </w:trPr>
        <w:tc>
          <w:tcPr>
            <w:tcW w:w="9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44F87B">
            <w:pPr>
              <w:jc w:val="center"/>
              <w:rPr>
                <w:rFonts w:hint="eastAsia" w:ascii="新宋体" w:hAnsi="新宋体" w:eastAsia="新宋体" w:cs="新宋体"/>
                <w:b w:val="0"/>
                <w:bCs w:val="0"/>
                <w:color w:val="auto"/>
                <w:sz w:val="28"/>
                <w:szCs w:val="28"/>
                <w:lang w:val="en-US" w:eastAsia="zh-CN"/>
              </w:rPr>
            </w:pPr>
            <w:r>
              <w:rPr>
                <w:rFonts w:hint="eastAsia" w:ascii="新宋体" w:hAnsi="新宋体" w:eastAsia="新宋体" w:cs="新宋体"/>
                <w:b/>
                <w:bCs/>
                <w:color w:val="auto"/>
                <w:sz w:val="28"/>
                <w:szCs w:val="28"/>
              </w:rPr>
              <w:t>交易保证金收款账户</w:t>
            </w:r>
          </w:p>
        </w:tc>
      </w:tr>
      <w:tr w14:paraId="676003B4">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单位名称</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hint="eastAsia" w:ascii="新宋体" w:hAnsi="新宋体" w:eastAsia="新宋体" w:cs="新宋体"/>
                <w:b w:val="0"/>
                <w:bCs w:val="0"/>
                <w:color w:val="auto"/>
                <w:sz w:val="28"/>
                <w:szCs w:val="28"/>
              </w:rPr>
            </w:pPr>
            <w:r>
              <w:rPr>
                <w:rFonts w:hint="eastAsia" w:ascii="新宋体" w:hAnsi="新宋体" w:eastAsia="新宋体" w:cs="新宋体"/>
                <w:b w:val="0"/>
                <w:bCs w:val="0"/>
                <w:color w:val="auto"/>
                <w:sz w:val="28"/>
                <w:szCs w:val="28"/>
                <w:lang w:val="en-US" w:eastAsia="zh-CN"/>
              </w:rPr>
              <w:t>屯昌县农村产权交易中心</w:t>
            </w:r>
            <w:r>
              <w:rPr>
                <w:rFonts w:hint="eastAsia" w:ascii="新宋体" w:hAnsi="新宋体" w:eastAsia="新宋体" w:cs="新宋体"/>
                <w:b w:val="0"/>
                <w:bCs w:val="0"/>
                <w:color w:val="auto"/>
                <w:sz w:val="28"/>
                <w:szCs w:val="28"/>
              </w:rPr>
              <w:t>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开户行</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hint="eastAsia" w:ascii="新宋体" w:hAnsi="新宋体" w:eastAsia="新宋体" w:cs="新宋体"/>
                <w:b w:val="0"/>
                <w:bCs w:val="0"/>
                <w:color w:val="auto"/>
                <w:sz w:val="28"/>
                <w:szCs w:val="28"/>
              </w:rPr>
            </w:pPr>
            <w:r>
              <w:rPr>
                <w:rFonts w:hint="eastAsia" w:ascii="新宋体" w:hAnsi="新宋体" w:eastAsia="新宋体" w:cs="新宋体"/>
                <w:b w:val="0"/>
                <w:bCs w:val="0"/>
                <w:color w:val="auto"/>
                <w:sz w:val="28"/>
                <w:szCs w:val="28"/>
                <w:lang w:val="en-US" w:eastAsia="zh-CN"/>
              </w:rPr>
              <w:t>海南农商行屯昌槟榔三路支行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账号</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4533A">
            <w:pPr>
              <w:jc w:val="center"/>
              <w:rPr>
                <w:rFonts w:hint="default"/>
                <w:lang w:val="en-US"/>
              </w:rPr>
            </w:pPr>
            <w:r>
              <w:rPr>
                <w:rFonts w:hint="eastAsia" w:ascii="新宋体" w:hAnsi="新宋体" w:eastAsia="新宋体" w:cs="新宋体"/>
                <w:b w:val="0"/>
                <w:bCs w:val="0"/>
                <w:color w:val="auto"/>
                <w:sz w:val="28"/>
                <w:szCs w:val="28"/>
                <w:lang w:val="en-US" w:eastAsia="zh-CN"/>
              </w:rPr>
              <w:t>1021644500000295</w:t>
            </w:r>
          </w:p>
        </w:tc>
      </w:tr>
    </w:tbl>
    <w:p w14:paraId="2D618B23">
      <w:pPr>
        <w:spacing w:line="520" w:lineRule="exact"/>
        <w:ind w:firstLine="560" w:firstLineChars="200"/>
        <w:rPr>
          <w:rFonts w:hint="eastAsia" w:ascii="新宋体" w:hAnsi="新宋体" w:eastAsia="新宋体" w:cs="Times New Roman"/>
          <w:color w:val="auto"/>
          <w:sz w:val="28"/>
          <w:szCs w:val="28"/>
        </w:rPr>
      </w:pPr>
    </w:p>
    <w:p w14:paraId="3B55DEF3">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w:t>
      </w:r>
      <w:r>
        <w:rPr>
          <w:rFonts w:hint="eastAsia" w:ascii="新宋体" w:hAnsi="新宋体" w:eastAsia="新宋体" w:cs="Times New Roman"/>
          <w:color w:val="auto"/>
          <w:sz w:val="28"/>
          <w:szCs w:val="28"/>
          <w:lang w:val="en-US" w:eastAsia="zh-CN"/>
        </w:rPr>
        <w:t>个人或单位</w:t>
      </w:r>
      <w:r>
        <w:rPr>
          <w:rFonts w:hint="eastAsia" w:ascii="新宋体" w:hAnsi="新宋体" w:eastAsia="新宋体" w:cs="Times New Roman"/>
          <w:color w:val="auto"/>
          <w:sz w:val="28"/>
          <w:szCs w:val="28"/>
        </w:rPr>
        <w:t>注册资料，注册后如信息资料有任何变动，必须及时向平台提出更新申请，否则由此引起的经济及法律责任均由竞买方自行承担。</w:t>
      </w:r>
    </w:p>
    <w:p w14:paraId="6B1ECA4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5D5E1DCB">
      <w:pPr>
        <w:spacing w:line="520" w:lineRule="exact"/>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三、竞买方办理竞拍登记手续和交易保证金交纳，经</w:t>
      </w:r>
      <w:r>
        <w:rPr>
          <w:rFonts w:hint="eastAsia" w:ascii="新宋体" w:hAnsi="新宋体" w:eastAsia="新宋体" w:cs="Times New Roman"/>
          <w:color w:val="auto"/>
          <w:sz w:val="28"/>
          <w:szCs w:val="28"/>
          <w:lang w:val="en-US" w:eastAsia="zh-CN"/>
        </w:rPr>
        <w:t>平台审核</w:t>
      </w:r>
      <w:r>
        <w:rPr>
          <w:rFonts w:hint="eastAsia" w:ascii="新宋体" w:hAnsi="新宋体" w:eastAsia="新宋体" w:cs="Times New Roman"/>
          <w:color w:val="auto"/>
          <w:sz w:val="28"/>
          <w:szCs w:val="28"/>
        </w:rPr>
        <w:t>确认后，</w:t>
      </w:r>
      <w:r>
        <w:rPr>
          <w:rFonts w:hint="eastAsia" w:ascii="新宋体" w:hAnsi="新宋体" w:eastAsia="新宋体" w:cs="Times New Roman"/>
          <w:color w:val="auto"/>
          <w:sz w:val="28"/>
          <w:szCs w:val="28"/>
          <w:lang w:val="en-US" w:eastAsia="zh-CN"/>
        </w:rPr>
        <w:t>即可</w:t>
      </w:r>
      <w:r>
        <w:rPr>
          <w:rFonts w:hint="eastAsia" w:ascii="新宋体" w:hAnsi="新宋体" w:eastAsia="新宋体" w:cs="Times New Roman"/>
          <w:color w:val="auto"/>
          <w:sz w:val="28"/>
          <w:szCs w:val="28"/>
        </w:rPr>
        <w:t>于</w:t>
      </w:r>
      <w:r>
        <w:rPr>
          <w:rFonts w:hint="eastAsia" w:ascii="新宋体" w:hAnsi="新宋体" w:eastAsia="新宋体" w:cs="Times New Roman"/>
          <w:color w:val="auto"/>
          <w:sz w:val="28"/>
          <w:szCs w:val="28"/>
          <w:lang w:val="en-US" w:eastAsia="zh-CN"/>
        </w:rPr>
        <w:t>标的</w:t>
      </w:r>
      <w:r>
        <w:rPr>
          <w:rFonts w:hint="eastAsia" w:ascii="新宋体" w:hAnsi="新宋体" w:eastAsia="新宋体" w:cs="Times New Roman"/>
          <w:color w:val="auto"/>
          <w:sz w:val="28"/>
          <w:szCs w:val="28"/>
        </w:rPr>
        <w:t>竞价活动</w:t>
      </w:r>
      <w:r>
        <w:rPr>
          <w:rFonts w:hint="eastAsia" w:ascii="新宋体" w:hAnsi="新宋体" w:eastAsia="新宋体" w:cs="Times New Roman"/>
          <w:color w:val="auto"/>
          <w:sz w:val="28"/>
          <w:szCs w:val="28"/>
          <w:lang w:val="en-US" w:eastAsia="zh-CN"/>
        </w:rPr>
        <w:t>期间</w:t>
      </w:r>
      <w:r>
        <w:rPr>
          <w:rFonts w:hint="eastAsia" w:ascii="新宋体" w:hAnsi="新宋体" w:eastAsia="新宋体" w:cs="Times New Roman"/>
          <w:color w:val="auto"/>
          <w:sz w:val="28"/>
          <w:szCs w:val="28"/>
        </w:rPr>
        <w:t>，登录平台网站</w:t>
      </w:r>
      <w:r>
        <w:rPr>
          <w:rFonts w:hint="eastAsia" w:ascii="新宋体" w:hAnsi="新宋体" w:eastAsia="新宋体" w:cs="Times New Roman"/>
          <w:b w:val="0"/>
          <w:bCs w:val="0"/>
          <w:color w:val="auto"/>
          <w:sz w:val="28"/>
          <w:szCs w:val="28"/>
          <w:lang w:val="en-US" w:eastAsia="zh-CN"/>
        </w:rPr>
        <w:t>进行交易</w:t>
      </w:r>
      <w:r>
        <w:rPr>
          <w:rFonts w:hint="eastAsia" w:ascii="新宋体" w:hAnsi="新宋体" w:eastAsia="新宋体" w:cs="Times New Roman"/>
          <w:color w:val="auto"/>
          <w:sz w:val="28"/>
          <w:szCs w:val="28"/>
        </w:rPr>
        <w:t>。</w:t>
      </w:r>
    </w:p>
    <w:p w14:paraId="461D73EC">
      <w:pPr>
        <w:spacing w:line="520" w:lineRule="exact"/>
        <w:rPr>
          <w:rFonts w:hint="eastAsia"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lang w:eastAsia="zh-CN"/>
        </w:rPr>
        <w:t>（</w:t>
      </w:r>
      <w:r>
        <w:rPr>
          <w:rFonts w:hint="eastAsia" w:ascii="新宋体" w:hAnsi="新宋体" w:eastAsia="新宋体" w:cs="Times New Roman"/>
          <w:b w:val="0"/>
          <w:bCs w:val="0"/>
          <w:color w:val="auto"/>
          <w:sz w:val="28"/>
          <w:szCs w:val="28"/>
        </w:rPr>
        <w:t>https://tunchang.nongjiao.com/</w:t>
      </w:r>
      <w:r>
        <w:rPr>
          <w:rFonts w:hint="eastAsia" w:ascii="新宋体" w:hAnsi="新宋体" w:eastAsia="新宋体" w:cs="Times New Roman"/>
          <w:b w:val="0"/>
          <w:bCs w:val="0"/>
          <w:color w:val="auto"/>
          <w:sz w:val="28"/>
          <w:szCs w:val="28"/>
          <w:lang w:eastAsia="zh-CN"/>
        </w:rPr>
        <w:t>）</w:t>
      </w:r>
    </w:p>
    <w:p w14:paraId="6E9D2A3F">
      <w:pPr>
        <w:spacing w:line="520" w:lineRule="exact"/>
        <w:ind w:firstLine="560" w:firstLineChars="200"/>
        <w:jc w:val="left"/>
        <w:rPr>
          <w:rFonts w:hint="eastAsia" w:ascii="新宋体" w:hAnsi="新宋体" w:eastAsia="新宋体" w:cs="Times New Roman"/>
          <w:color w:val="auto"/>
          <w:sz w:val="28"/>
          <w:szCs w:val="28"/>
        </w:rPr>
      </w:pPr>
      <w:r>
        <w:rPr>
          <w:rFonts w:hint="eastAsia" w:ascii="新宋体" w:hAnsi="新宋体" w:eastAsia="新宋体" w:cs="Times New Roman"/>
          <w:b w:val="0"/>
          <w:bCs w:val="0"/>
          <w:color w:val="auto"/>
          <w:sz w:val="28"/>
          <w:szCs w:val="28"/>
        </w:rPr>
        <w:t>1、本次网络竞价标的</w:t>
      </w:r>
      <w:r>
        <w:rPr>
          <w:rFonts w:hint="eastAsia" w:ascii="新宋体" w:hAnsi="新宋体" w:eastAsia="新宋体" w:cs="Times New Roman"/>
          <w:b w:val="0"/>
          <w:bCs w:val="0"/>
          <w:color w:val="auto"/>
          <w:sz w:val="28"/>
          <w:szCs w:val="28"/>
          <w:lang w:val="en-US" w:eastAsia="zh-CN"/>
        </w:rPr>
        <w:t>为:</w:t>
      </w:r>
      <w:r>
        <w:rPr>
          <w:rFonts w:hint="eastAsia" w:ascii="新宋体" w:hAnsi="新宋体" w:eastAsia="新宋体" w:cs="Times New Roman"/>
          <w:b w:val="0"/>
          <w:bCs w:val="0"/>
          <w:color w:val="auto"/>
          <w:sz w:val="28"/>
          <w:szCs w:val="28"/>
          <w:u w:val="single"/>
          <w:lang w:val="en-US" w:eastAsia="zh-CN"/>
        </w:rPr>
        <w:t>屯昌县南坤镇坤明路74、76号78.4㎡铺面出租</w:t>
      </w:r>
      <w:r>
        <w:rPr>
          <w:rFonts w:hint="eastAsia" w:ascii="新宋体" w:hAnsi="新宋体" w:eastAsia="新宋体" w:cs="Times New Roman"/>
          <w:b w:val="0"/>
          <w:bCs w:val="0"/>
          <w:color w:val="auto"/>
          <w:sz w:val="28"/>
          <w:szCs w:val="28"/>
          <w:lang w:val="en-US" w:eastAsia="zh-CN"/>
        </w:rPr>
        <w:t>项目；</w:t>
      </w:r>
      <w:r>
        <w:rPr>
          <w:rFonts w:hint="eastAsia" w:ascii="新宋体" w:hAnsi="新宋体" w:eastAsia="新宋体" w:cs="Times New Roman"/>
          <w:color w:val="auto"/>
          <w:sz w:val="28"/>
          <w:szCs w:val="28"/>
          <w:lang w:val="en-US" w:eastAsia="zh-CN"/>
        </w:rPr>
        <w:t>起拍价为人民币￥</w:t>
      </w:r>
      <w:r>
        <w:rPr>
          <w:rFonts w:hint="eastAsia" w:ascii="新宋体" w:hAnsi="新宋体" w:eastAsia="新宋体" w:cs="Times New Roman"/>
          <w:color w:val="auto"/>
          <w:sz w:val="28"/>
          <w:szCs w:val="28"/>
          <w:u w:val="single"/>
          <w:lang w:val="en-US" w:eastAsia="zh-CN"/>
        </w:rPr>
        <w:t>15996</w:t>
      </w:r>
      <w:r>
        <w:rPr>
          <w:rFonts w:hint="eastAsia" w:ascii="新宋体" w:hAnsi="新宋体" w:eastAsia="新宋体" w:cs="Times New Roman"/>
          <w:color w:val="auto"/>
          <w:sz w:val="28"/>
          <w:szCs w:val="28"/>
          <w:u w:val="none"/>
          <w:lang w:val="en-US" w:eastAsia="zh-CN"/>
        </w:rPr>
        <w:t>元/年。</w:t>
      </w:r>
    </w:p>
    <w:p w14:paraId="72973ED0">
      <w:pPr>
        <w:pStyle w:val="4"/>
        <w:keepNext/>
        <w:keepLines/>
        <w:pageBreakBefore w:val="0"/>
        <w:widowControl w:val="0"/>
        <w:numPr>
          <w:ilvl w:val="0"/>
          <w:numId w:val="2"/>
        </w:numPr>
        <w:kinsoku/>
        <w:wordWrap/>
        <w:overflowPunct/>
        <w:topLinePunct w:val="0"/>
        <w:autoSpaceDE/>
        <w:autoSpaceDN/>
        <w:bidi w:val="0"/>
        <w:adjustRightInd/>
        <w:snapToGrid/>
        <w:spacing w:line="500" w:lineRule="exact"/>
        <w:ind w:firstLine="560"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b w:val="0"/>
          <w:bCs w:val="0"/>
          <w:color w:val="auto"/>
          <w:sz w:val="28"/>
          <w:szCs w:val="28"/>
        </w:rPr>
        <w:t>本次网络竞价采用竞价方式（</w:t>
      </w:r>
      <w:r>
        <w:rPr>
          <w:rFonts w:hint="eastAsia" w:ascii="宋体" w:hAnsi="Times New Roman"/>
          <w:b w:val="0"/>
          <w:bCs w:val="0"/>
          <w:color w:val="auto"/>
          <w:lang w:eastAsia="zh-CN"/>
        </w:rPr>
        <w:t>☑</w:t>
      </w:r>
      <w:r>
        <w:rPr>
          <w:rFonts w:hint="eastAsia" w:ascii="新宋体" w:hAnsi="新宋体" w:eastAsia="新宋体" w:cs="Times New Roman"/>
          <w:b w:val="0"/>
          <w:bCs w:val="0"/>
          <w:color w:val="auto"/>
          <w:sz w:val="28"/>
          <w:szCs w:val="28"/>
        </w:rPr>
        <w:t>阶梯竞价、</w:t>
      </w:r>
      <w:r>
        <w:rPr>
          <w:rFonts w:hint="eastAsia" w:ascii="宋体" w:hAnsi="Times New Roman"/>
          <w:b w:val="0"/>
          <w:bCs w:val="0"/>
          <w:color w:val="auto"/>
          <w:lang w:eastAsia="zh-CN"/>
        </w:rPr>
        <w:t>□</w:t>
      </w:r>
      <w:r>
        <w:rPr>
          <w:rFonts w:hint="eastAsia" w:ascii="新宋体" w:hAnsi="新宋体" w:eastAsia="新宋体" w:cs="Times New Roman"/>
          <w:b w:val="0"/>
          <w:bCs w:val="0"/>
          <w:color w:val="auto"/>
          <w:sz w:val="28"/>
          <w:szCs w:val="28"/>
        </w:rPr>
        <w:t>自由竞价）。</w:t>
      </w:r>
    </w:p>
    <w:p w14:paraId="79AB93D8">
      <w:pPr>
        <w:pStyle w:val="4"/>
        <w:keepNext/>
        <w:keepLines/>
        <w:pageBreakBefore w:val="0"/>
        <w:widowControl w:val="0"/>
        <w:numPr>
          <w:ilvl w:val="0"/>
          <w:numId w:val="2"/>
        </w:numPr>
        <w:kinsoku/>
        <w:wordWrap/>
        <w:overflowPunct/>
        <w:topLinePunct w:val="0"/>
        <w:autoSpaceDE/>
        <w:autoSpaceDN/>
        <w:bidi w:val="0"/>
        <w:adjustRightInd/>
        <w:snapToGrid/>
        <w:spacing w:line="500" w:lineRule="exact"/>
        <w:ind w:firstLine="560" w:firstLineChars="200"/>
        <w:textAlignment w:val="auto"/>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竞买方接受出租（转让）方确定的交易条件，通过平台的网络竞价系统进行动态</w:t>
      </w:r>
      <w:r>
        <w:rPr>
          <w:rFonts w:hint="eastAsia" w:ascii="新宋体" w:hAnsi="新宋体" w:eastAsia="新宋体" w:cs="Times New Roman"/>
          <w:b w:val="0"/>
          <w:bCs w:val="0"/>
          <w:color w:val="FF0000"/>
          <w:sz w:val="28"/>
          <w:szCs w:val="28"/>
        </w:rPr>
        <w:t>递增（减）报价，将报价最高者确定为承租（受让）方的竞价方式（反向竞价以报价最低者确定为承租（受让）方）</w:t>
      </w:r>
      <w:r>
        <w:rPr>
          <w:rFonts w:hint="eastAsia" w:ascii="新宋体" w:hAnsi="新宋体" w:eastAsia="新宋体" w:cs="Times New Roman"/>
          <w:b w:val="0"/>
          <w:bCs w:val="0"/>
          <w:color w:val="auto"/>
          <w:sz w:val="28"/>
          <w:szCs w:val="28"/>
        </w:rPr>
        <w:t>。</w:t>
      </w:r>
    </w:p>
    <w:p w14:paraId="08C38E71">
      <w:pPr>
        <w:pStyle w:val="4"/>
        <w:spacing w:line="400" w:lineRule="exact"/>
        <w:ind w:left="559" w:leftChars="266"/>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4、本次竞价</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价阶梯为人民币：</w:t>
      </w:r>
      <w:r>
        <w:rPr>
          <w:rFonts w:hint="eastAsia" w:ascii="新宋体" w:hAnsi="新宋体" w:eastAsia="新宋体" w:cs="Times New Roman"/>
          <w:b/>
          <w:bCs/>
          <w:color w:val="FF0000"/>
          <w:sz w:val="28"/>
          <w:szCs w:val="28"/>
          <w:u w:val="single"/>
          <w:lang w:val="en-US" w:eastAsia="zh-CN"/>
        </w:rPr>
        <w:t>100</w:t>
      </w:r>
      <w:r>
        <w:rPr>
          <w:rFonts w:hint="eastAsia" w:ascii="新宋体" w:hAnsi="新宋体" w:eastAsia="新宋体" w:cs="Times New Roman"/>
          <w:b w:val="0"/>
          <w:bCs w:val="0"/>
          <w:color w:val="auto"/>
          <w:sz w:val="28"/>
          <w:szCs w:val="28"/>
        </w:rPr>
        <w:t>元的整数倍（至少</w:t>
      </w:r>
      <w:r>
        <w:rPr>
          <w:rFonts w:hint="eastAsia" w:ascii="新宋体" w:hAnsi="新宋体" w:eastAsia="新宋体" w:cs="Times New Roman"/>
          <w:b w:val="0"/>
          <w:bCs w:val="0"/>
          <w:color w:val="auto"/>
          <w:sz w:val="28"/>
          <w:szCs w:val="28"/>
          <w:lang w:val="en-US" w:eastAsia="zh-CN"/>
        </w:rPr>
        <w:t>1</w:t>
      </w:r>
      <w:r>
        <w:rPr>
          <w:rFonts w:hint="eastAsia" w:ascii="新宋体" w:hAnsi="新宋体" w:eastAsia="新宋体" w:cs="Times New Roman"/>
          <w:b w:val="0"/>
          <w:bCs w:val="0"/>
          <w:color w:val="auto"/>
          <w:sz w:val="28"/>
          <w:szCs w:val="28"/>
        </w:rPr>
        <w:t>00元）。</w:t>
      </w:r>
    </w:p>
    <w:p w14:paraId="4F646994">
      <w:pPr>
        <w:pStyle w:val="4"/>
        <w:spacing w:line="400" w:lineRule="exact"/>
        <w:ind w:left="559" w:leftChars="266"/>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5、本次网络竞价</w:t>
      </w:r>
      <w:r>
        <w:rPr>
          <w:rFonts w:hint="eastAsia" w:ascii="新宋体" w:hAnsi="新宋体" w:eastAsia="新宋体" w:cs="Times New Roman"/>
          <w:b w:val="0"/>
          <w:bCs w:val="0"/>
          <w:color w:val="auto"/>
          <w:sz w:val="28"/>
          <w:szCs w:val="28"/>
          <w:lang w:val="en-US" w:eastAsia="zh-CN"/>
        </w:rPr>
        <w:t>由</w:t>
      </w:r>
      <w:r>
        <w:rPr>
          <w:rFonts w:hint="eastAsia" w:ascii="新宋体" w:hAnsi="新宋体" w:eastAsia="新宋体" w:cs="Times New Roman"/>
          <w:b w:val="0"/>
          <w:bCs w:val="0"/>
          <w:color w:val="auto"/>
          <w:sz w:val="28"/>
          <w:szCs w:val="28"/>
        </w:rPr>
        <w:t>自由报价期和延时报价期，两个竞价期组成。</w:t>
      </w:r>
    </w:p>
    <w:p w14:paraId="0D60DC4C">
      <w:pPr>
        <w:spacing w:line="4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6、自由竞价期从</w:t>
      </w:r>
      <w:r>
        <w:rPr>
          <w:rFonts w:hint="eastAsia" w:ascii="新宋体" w:hAnsi="新宋体" w:eastAsia="新宋体" w:cs="Times New Roman"/>
          <w:b w:val="0"/>
          <w:bCs w:val="0"/>
          <w:color w:val="auto"/>
          <w:sz w:val="28"/>
          <w:szCs w:val="28"/>
          <w:u w:val="single"/>
          <w:lang w:val="en-US" w:eastAsia="zh-CN"/>
        </w:rPr>
        <w:t>2026/7/23 10:00:00</w:t>
      </w:r>
      <w:r>
        <w:rPr>
          <w:rFonts w:hint="eastAsia" w:ascii="新宋体" w:hAnsi="新宋体" w:eastAsia="新宋体" w:cs="Times New Roman"/>
          <w:b w:val="0"/>
          <w:bCs w:val="0"/>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FF0000"/>
          <w:sz w:val="28"/>
          <w:szCs w:val="28"/>
          <w:u w:val="single"/>
        </w:rPr>
        <w:t>5</w:t>
      </w:r>
      <w:r>
        <w:rPr>
          <w:rFonts w:hint="eastAsia" w:ascii="新宋体" w:hAnsi="新宋体" w:eastAsia="新宋体" w:cs="Times New Roman"/>
          <w:b w:val="0"/>
          <w:bCs w:val="0"/>
          <w:color w:val="auto"/>
          <w:sz w:val="28"/>
          <w:szCs w:val="28"/>
        </w:rPr>
        <w:t>分钟。</w:t>
      </w:r>
    </w:p>
    <w:p w14:paraId="0E88208D">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7、在一个延时竞价周期内如未出现新的有效报价，则当前有效报价方成为该次网络竞价活动的最</w:t>
      </w:r>
      <w:r>
        <w:rPr>
          <w:rFonts w:hint="eastAsia" w:ascii="新宋体" w:hAnsi="新宋体" w:eastAsia="新宋体" w:cs="Times New Roman"/>
          <w:b w:val="0"/>
          <w:bCs w:val="0"/>
          <w:color w:val="FF0000"/>
          <w:sz w:val="28"/>
          <w:szCs w:val="28"/>
        </w:rPr>
        <w:t>高（低）</w:t>
      </w:r>
      <w:r>
        <w:rPr>
          <w:rFonts w:hint="eastAsia" w:ascii="新宋体" w:hAnsi="新宋体" w:eastAsia="新宋体" w:cs="Times New Roman"/>
          <w:b w:val="0"/>
          <w:bCs w:val="0"/>
          <w:color w:val="auto"/>
          <w:sz w:val="28"/>
          <w:szCs w:val="28"/>
        </w:rPr>
        <w:t>报价方。</w:t>
      </w:r>
    </w:p>
    <w:p w14:paraId="2D6B34F9">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8、竞买方须谨慎在网络报价，</w:t>
      </w:r>
      <w:r>
        <w:rPr>
          <w:rFonts w:hint="eastAsia" w:ascii="新宋体" w:hAnsi="新宋体" w:eastAsia="新宋体" w:cs="Times New Roman"/>
          <w:b/>
          <w:bCs/>
          <w:color w:val="auto"/>
          <w:sz w:val="28"/>
          <w:szCs w:val="28"/>
        </w:rPr>
        <w:t>网络报价一经提交</w:t>
      </w:r>
      <w:r>
        <w:rPr>
          <w:rFonts w:hint="eastAsia" w:ascii="新宋体" w:hAnsi="新宋体" w:eastAsia="新宋体" w:cs="Times New Roman"/>
          <w:b w:val="0"/>
          <w:bCs w:val="0"/>
          <w:color w:val="auto"/>
          <w:sz w:val="28"/>
          <w:szCs w:val="28"/>
        </w:rPr>
        <w:t>并经平台记录即视为有效报价，竞买方</w:t>
      </w:r>
      <w:r>
        <w:rPr>
          <w:rFonts w:hint="eastAsia" w:ascii="新宋体" w:hAnsi="新宋体" w:eastAsia="新宋体" w:cs="Times New Roman"/>
          <w:b/>
          <w:bCs/>
          <w:color w:val="auto"/>
          <w:sz w:val="28"/>
          <w:szCs w:val="28"/>
        </w:rPr>
        <w:t>不可变更或撤销</w:t>
      </w:r>
      <w:r>
        <w:rPr>
          <w:rFonts w:hint="eastAsia" w:ascii="新宋体" w:hAnsi="新宋体" w:eastAsia="新宋体" w:cs="Times New Roman"/>
          <w:b w:val="0"/>
          <w:bCs w:val="0"/>
          <w:color w:val="auto"/>
          <w:sz w:val="28"/>
          <w:szCs w:val="28"/>
        </w:rPr>
        <w:t>。</w:t>
      </w:r>
    </w:p>
    <w:p w14:paraId="3F11DEF3">
      <w:pPr>
        <w:spacing w:line="500" w:lineRule="exact"/>
        <w:ind w:firstLine="560" w:firstLineChars="200"/>
        <w:rPr>
          <w:b w:val="0"/>
          <w:bCs w:val="0"/>
          <w:color w:val="auto"/>
        </w:rPr>
      </w:pPr>
      <w:r>
        <w:rPr>
          <w:rFonts w:hint="eastAsia" w:ascii="新宋体" w:hAnsi="新宋体" w:eastAsia="新宋体" w:cs="Times New Roman"/>
          <w:b w:val="0"/>
          <w:bCs w:val="0"/>
          <w:color w:val="auto"/>
          <w:sz w:val="28"/>
          <w:szCs w:val="28"/>
        </w:rPr>
        <w:t>9、首个竞买方初次竞买报价可等于标的起拍价，之后每次竞买报价必须比当前最</w:t>
      </w:r>
      <w:r>
        <w:rPr>
          <w:rFonts w:hint="eastAsia" w:ascii="新宋体" w:hAnsi="新宋体" w:eastAsia="新宋体" w:cs="Times New Roman"/>
          <w:b w:val="0"/>
          <w:bCs w:val="0"/>
          <w:color w:val="FF0000"/>
          <w:sz w:val="28"/>
          <w:szCs w:val="28"/>
        </w:rPr>
        <w:t>高（低）</w:t>
      </w:r>
      <w:r>
        <w:rPr>
          <w:rFonts w:hint="eastAsia" w:ascii="新宋体" w:hAnsi="新宋体" w:eastAsia="新宋体" w:cs="Times New Roman"/>
          <w:b w:val="0"/>
          <w:bCs w:val="0"/>
          <w:color w:val="auto"/>
          <w:sz w:val="28"/>
          <w:szCs w:val="28"/>
        </w:rPr>
        <w:t>报价递增一个</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价幅度以上的价格，且</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价按最小</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价幅度的整数倍加价。只有满足竞价</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价幅度等竞买相关条件的报价，系统才予以接受，并即时显示报价结果。</w:t>
      </w:r>
    </w:p>
    <w:p w14:paraId="5D39C7A3">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3A2865DD">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12、竞拍最</w:t>
      </w:r>
      <w:r>
        <w:rPr>
          <w:rFonts w:hint="eastAsia" w:ascii="新宋体" w:hAnsi="新宋体" w:eastAsia="新宋体" w:cs="Times New Roman"/>
          <w:b w:val="0"/>
          <w:bCs w:val="0"/>
          <w:color w:val="FF0000"/>
          <w:sz w:val="28"/>
          <w:szCs w:val="28"/>
        </w:rPr>
        <w:t>高（低）</w:t>
      </w:r>
      <w:r>
        <w:rPr>
          <w:rFonts w:hint="eastAsia" w:ascii="新宋体" w:hAnsi="新宋体" w:eastAsia="新宋体" w:cs="Times New Roman"/>
          <w:b w:val="0"/>
          <w:bCs w:val="0"/>
          <w:color w:val="auto"/>
          <w:sz w:val="28"/>
          <w:szCs w:val="28"/>
        </w:rPr>
        <w:t>报价的结果以系统记录数据为准。</w:t>
      </w:r>
    </w:p>
    <w:p w14:paraId="523C9F43">
      <w:pPr>
        <w:spacing w:line="50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b w:val="0"/>
          <w:bCs w:val="0"/>
          <w:color w:val="auto"/>
          <w:sz w:val="28"/>
          <w:szCs w:val="28"/>
        </w:rPr>
        <w:t>13、</w:t>
      </w:r>
      <w:r>
        <w:rPr>
          <w:rFonts w:hint="eastAsia" w:ascii="新宋体" w:hAnsi="新宋体" w:eastAsia="新宋体" w:cs="Times New Roman"/>
          <w:b/>
          <w:bCs/>
          <w:color w:val="auto"/>
          <w:sz w:val="28"/>
          <w:szCs w:val="28"/>
        </w:rPr>
        <w:t>因竞买方如下行为产生的一切后果，平台不承担任何责任：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14、网络竞价系统因不可抗力、软硬件故障、非法入侵、恶意攻击等原因而导致系统异常、竞价活动中断的，当次网络竞价结果无效。平台</w:t>
      </w:r>
      <w:r>
        <w:rPr>
          <w:rFonts w:hint="eastAsia" w:ascii="新宋体" w:hAnsi="新宋体" w:eastAsia="新宋体" w:cs="Times New Roman"/>
          <w:b w:val="0"/>
          <w:bCs w:val="0"/>
          <w:color w:val="auto"/>
          <w:sz w:val="28"/>
          <w:szCs w:val="28"/>
          <w:lang w:val="en-US" w:eastAsia="zh-CN"/>
        </w:rPr>
        <w:t>应</w:t>
      </w:r>
      <w:r>
        <w:rPr>
          <w:rFonts w:hint="eastAsia" w:ascii="新宋体" w:hAnsi="新宋体" w:eastAsia="新宋体" w:cs="Times New Roman"/>
          <w:b w:val="0"/>
          <w:bCs w:val="0"/>
          <w:color w:val="auto"/>
          <w:sz w:val="28"/>
          <w:szCs w:val="28"/>
        </w:rPr>
        <w:t>当</w:t>
      </w:r>
      <w:r>
        <w:rPr>
          <w:rFonts w:hint="eastAsia" w:ascii="新宋体" w:hAnsi="新宋体" w:eastAsia="新宋体" w:cs="Times New Roman"/>
          <w:b w:val="0"/>
          <w:bCs w:val="0"/>
          <w:color w:val="auto"/>
          <w:sz w:val="28"/>
          <w:szCs w:val="28"/>
          <w:lang w:val="en-US" w:eastAsia="zh-CN"/>
        </w:rPr>
        <w:t>立</w:t>
      </w:r>
      <w:r>
        <w:rPr>
          <w:rFonts w:hint="eastAsia" w:ascii="新宋体" w:hAnsi="新宋体" w:eastAsia="新宋体" w:cs="Times New Roman"/>
          <w:b w:val="0"/>
          <w:bCs w:val="0"/>
          <w:color w:val="auto"/>
          <w:sz w:val="28"/>
          <w:szCs w:val="28"/>
        </w:rPr>
        <w:t>即与出租（转让）方协商后续方案，并将结果及时通知各竞买方，平台运营单位有权中止（冻结）</w:t>
      </w:r>
      <w:r>
        <w:rPr>
          <w:rFonts w:hint="eastAsia" w:ascii="新宋体" w:hAnsi="新宋体" w:eastAsia="新宋体" w:cs="Times New Roman"/>
          <w:b w:val="0"/>
          <w:bCs w:val="0"/>
          <w:color w:val="auto"/>
          <w:sz w:val="28"/>
          <w:szCs w:val="28"/>
          <w:lang w:val="en-US" w:eastAsia="zh-CN"/>
        </w:rPr>
        <w:t>有关</w:t>
      </w:r>
      <w:r>
        <w:rPr>
          <w:rFonts w:hint="eastAsia" w:ascii="新宋体" w:hAnsi="新宋体" w:eastAsia="新宋体" w:cs="Times New Roman"/>
          <w:b w:val="0"/>
          <w:bCs w:val="0"/>
          <w:color w:val="auto"/>
          <w:sz w:val="28"/>
          <w:szCs w:val="28"/>
        </w:rPr>
        <w:t>标的物</w:t>
      </w:r>
      <w:r>
        <w:rPr>
          <w:rFonts w:hint="eastAsia" w:ascii="新宋体" w:hAnsi="新宋体" w:eastAsia="新宋体" w:cs="Times New Roman"/>
          <w:b w:val="0"/>
          <w:bCs w:val="0"/>
          <w:color w:val="auto"/>
          <w:sz w:val="28"/>
          <w:szCs w:val="28"/>
          <w:lang w:val="en-US" w:eastAsia="zh-CN"/>
        </w:rPr>
        <w:t>的</w:t>
      </w:r>
      <w:r>
        <w:rPr>
          <w:rFonts w:hint="eastAsia" w:ascii="新宋体" w:hAnsi="新宋体" w:eastAsia="新宋体" w:cs="Times New Roman"/>
          <w:b w:val="0"/>
          <w:bCs w:val="0"/>
          <w:color w:val="auto"/>
          <w:sz w:val="28"/>
          <w:szCs w:val="28"/>
        </w:rPr>
        <w:t>竞价活动，待问题解决后依程序再行恢复竞价活动，同时平台不承担任何责任。主要行为包括但不限于以下：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497BA09B">
      <w:pPr>
        <w:spacing w:line="52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6E5D2F4A">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21、应价时间截止，所有竞买方均未报价导致本次网络竞价终结的，视为违约，所有竞买方交纳的交易保证金将不予退还。</w:t>
      </w:r>
    </w:p>
    <w:p w14:paraId="556DF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22、成交结果以平台出具的《标的竞得书》为准。平台在竞价结束的2个工作日内向竞得方出具《标的竞得书》。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7B76475E">
      <w:pPr>
        <w:spacing w:line="500" w:lineRule="exact"/>
        <w:ind w:firstLine="560" w:firstLineChars="200"/>
        <w:rPr>
          <w:rFonts w:ascii="新宋体" w:hAnsi="新宋体" w:eastAsia="新宋体" w:cs="Times New Roman"/>
          <w:b w:val="0"/>
          <w:bCs w:val="0"/>
          <w:color w:val="000000" w:themeColor="text1"/>
          <w:sz w:val="28"/>
          <w:szCs w:val="28"/>
          <w14:textFill>
            <w14:solidFill>
              <w14:schemeClr w14:val="tx1"/>
            </w14:solidFill>
          </w14:textFill>
        </w:rPr>
      </w:pPr>
      <w:r>
        <w:rPr>
          <w:rFonts w:hint="eastAsia" w:ascii="新宋体" w:hAnsi="新宋体" w:eastAsia="新宋体" w:cs="Times New Roman"/>
          <w:b w:val="0"/>
          <w:bCs w:val="0"/>
          <w:color w:val="000000" w:themeColor="text1"/>
          <w:sz w:val="28"/>
          <w:szCs w:val="28"/>
          <w14:textFill>
            <w14:solidFill>
              <w14:schemeClr w14:val="tx1"/>
            </w14:solidFill>
          </w14:textFill>
        </w:rPr>
        <w:t>23、服务费收费标准：</w:t>
      </w:r>
    </w:p>
    <w:p w14:paraId="443A47D0">
      <w:pPr>
        <w:spacing w:line="500" w:lineRule="exact"/>
        <w:ind w:firstLine="560" w:firstLineChars="20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w:t>
      </w:r>
      <w:r>
        <w:rPr>
          <w:rFonts w:hint="eastAsia" w:ascii="新宋体" w:hAnsi="新宋体" w:eastAsia="新宋体" w:cs="新宋体"/>
          <w:b/>
          <w:bCs/>
          <w:color w:val="000000" w:themeColor="text1"/>
          <w:sz w:val="28"/>
          <w:szCs w:val="28"/>
          <w:shd w:val="clear" w:color="auto" w:fill="FFFFFF"/>
          <w14:textFill>
            <w14:solidFill>
              <w14:schemeClr w14:val="tx1"/>
            </w14:solidFill>
          </w14:textFill>
        </w:rPr>
        <w:t>一人出价竞得交易服务费</w:t>
      </w:r>
      <w:r>
        <w:rPr>
          <w:rFonts w:hint="eastAsia" w:ascii="新宋体" w:hAnsi="新宋体" w:eastAsia="新宋体" w:cs="新宋体"/>
          <w:b w:val="0"/>
          <w:bCs w:val="0"/>
          <w:color w:val="000000" w:themeColor="text1"/>
          <w:sz w:val="28"/>
          <w:szCs w:val="28"/>
          <w:shd w:val="clear" w:color="auto" w:fill="FFFFFF"/>
          <w14:textFill>
            <w14:solidFill>
              <w14:schemeClr w14:val="tx1"/>
            </w14:solidFill>
          </w14:textFill>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CD2884A">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100-500（含）</w:t>
            </w:r>
          </w:p>
        </w:tc>
        <w:tc>
          <w:tcPr>
            <w:tcW w:w="3735" w:type="dxa"/>
            <w:shd w:val="clear" w:color="auto" w:fill="FFFFFF"/>
            <w:vAlign w:val="center"/>
          </w:tcPr>
          <w:p w14:paraId="0E05CF9B">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500-1000（含）</w:t>
            </w:r>
          </w:p>
        </w:tc>
        <w:tc>
          <w:tcPr>
            <w:tcW w:w="3735" w:type="dxa"/>
            <w:shd w:val="clear" w:color="auto" w:fill="FFFFFF"/>
            <w:vAlign w:val="center"/>
          </w:tcPr>
          <w:p w14:paraId="3839C106">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5000以上</w:t>
            </w:r>
          </w:p>
        </w:tc>
        <w:tc>
          <w:tcPr>
            <w:tcW w:w="3735" w:type="dxa"/>
            <w:shd w:val="clear" w:color="auto" w:fill="FFFFFF"/>
            <w:vAlign w:val="center"/>
          </w:tcPr>
          <w:p w14:paraId="1F2757C3">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0.3</w:t>
            </w:r>
          </w:p>
        </w:tc>
      </w:tr>
    </w:tbl>
    <w:p w14:paraId="7EE09207">
      <w:pPr>
        <w:pStyle w:val="11"/>
        <w:widowControl/>
        <w:shd w:val="clear" w:color="auto" w:fill="FFFFFF"/>
        <w:spacing w:beforeAutospacing="0" w:afterAutospacing="0" w:line="500" w:lineRule="exact"/>
        <w:ind w:firstLine="420"/>
        <w:rPr>
          <w:rFonts w:hint="eastAsia" w:ascii="新宋体" w:hAnsi="新宋体" w:eastAsia="新宋体" w:cs="新宋体"/>
          <w:b w:val="0"/>
          <w:bCs w:val="0"/>
          <w:color w:val="000000" w:themeColor="text1"/>
          <w:kern w:val="2"/>
          <w:sz w:val="28"/>
          <w:szCs w:val="28"/>
          <w:shd w:val="clear" w:color="auto" w:fill="FFFFFF"/>
          <w14:textFill>
            <w14:solidFill>
              <w14:schemeClr w14:val="tx1"/>
            </w14:solidFill>
          </w14:textFill>
        </w:rPr>
      </w:pPr>
      <w:r>
        <w:rPr>
          <w:rFonts w:hint="eastAsia" w:ascii="新宋体" w:hAnsi="新宋体" w:eastAsia="新宋体" w:cs="新宋体"/>
          <w:b w:val="0"/>
          <w:bCs w:val="0"/>
          <w:color w:val="000000" w:themeColor="text1"/>
          <w:kern w:val="2"/>
          <w:sz w:val="28"/>
          <w:szCs w:val="28"/>
          <w:shd w:val="clear" w:color="auto" w:fill="FFFFFF"/>
          <w14:textFill>
            <w14:solidFill>
              <w14:schemeClr w14:val="tx1"/>
            </w14:solidFill>
          </w14:textFill>
        </w:rPr>
        <w:t>（2）</w:t>
      </w:r>
      <w:r>
        <w:rPr>
          <w:rFonts w:hint="eastAsia" w:ascii="新宋体" w:hAnsi="新宋体" w:eastAsia="新宋体" w:cs="新宋体"/>
          <w:b/>
          <w:bCs/>
          <w:color w:val="000000" w:themeColor="text1"/>
          <w:kern w:val="2"/>
          <w:sz w:val="28"/>
          <w:szCs w:val="28"/>
          <w:shd w:val="clear" w:color="auto" w:fill="FFFFFF"/>
          <w14:textFill>
            <w14:solidFill>
              <w14:schemeClr w14:val="tx1"/>
            </w14:solidFill>
          </w14:textFill>
        </w:rPr>
        <w:t>二人以上出价竞价服务费</w:t>
      </w:r>
      <w:r>
        <w:rPr>
          <w:rFonts w:hint="eastAsia" w:ascii="新宋体" w:hAnsi="新宋体" w:eastAsia="新宋体" w:cs="新宋体"/>
          <w:b w:val="0"/>
          <w:bCs w:val="0"/>
          <w:color w:val="000000" w:themeColor="text1"/>
          <w:kern w:val="2"/>
          <w:sz w:val="28"/>
          <w:szCs w:val="28"/>
          <w:shd w:val="clear" w:color="auto" w:fill="FFFFFF"/>
          <w14:textFill>
            <w14:solidFill>
              <w14:schemeClr w14:val="tx1"/>
            </w14:solidFill>
          </w14:textFill>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AA998C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100-500（含）</w:t>
            </w:r>
          </w:p>
        </w:tc>
        <w:tc>
          <w:tcPr>
            <w:tcW w:w="4350" w:type="dxa"/>
            <w:shd w:val="clear" w:color="auto" w:fill="FFFFFF"/>
            <w:vAlign w:val="center"/>
          </w:tcPr>
          <w:p w14:paraId="2CEC2A57">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500-1000（含）</w:t>
            </w:r>
          </w:p>
        </w:tc>
        <w:tc>
          <w:tcPr>
            <w:tcW w:w="4350" w:type="dxa"/>
            <w:shd w:val="clear" w:color="auto" w:fill="FFFFFF"/>
            <w:vAlign w:val="center"/>
          </w:tcPr>
          <w:p w14:paraId="0BD4931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5000以上</w:t>
            </w:r>
          </w:p>
        </w:tc>
        <w:tc>
          <w:tcPr>
            <w:tcW w:w="4350" w:type="dxa"/>
            <w:shd w:val="clear" w:color="auto" w:fill="FFFFFF"/>
            <w:vAlign w:val="center"/>
          </w:tcPr>
          <w:p w14:paraId="40A99EBC">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0.4</w:t>
            </w:r>
          </w:p>
        </w:tc>
      </w:tr>
    </w:tbl>
    <w:p w14:paraId="243BF739">
      <w:pPr>
        <w:pStyle w:val="2"/>
        <w:rPr>
          <w:rFonts w:hint="eastAsia"/>
        </w:rPr>
      </w:pPr>
    </w:p>
    <w:p w14:paraId="13EF4E13">
      <w:pPr>
        <w:rPr>
          <w:rFonts w:hint="eastAsia"/>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3"/>
        <w:gridCol w:w="5967"/>
      </w:tblGrid>
      <w:tr w14:paraId="39943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7580" w:type="dxa"/>
            <w:gridSpan w:val="2"/>
            <w:noWrap w:val="0"/>
            <w:vAlign w:val="center"/>
          </w:tcPr>
          <w:p w14:paraId="6F71F18F">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交易服务费收款账户</w:t>
            </w:r>
          </w:p>
        </w:tc>
      </w:tr>
      <w:tr w14:paraId="6F525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613" w:type="dxa"/>
            <w:noWrap w:val="0"/>
            <w:vAlign w:val="center"/>
          </w:tcPr>
          <w:p w14:paraId="180C0404">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bCs/>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户名</w:t>
            </w:r>
          </w:p>
        </w:tc>
        <w:tc>
          <w:tcPr>
            <w:tcW w:w="5967" w:type="dxa"/>
            <w:noWrap w:val="0"/>
            <w:vAlign w:val="center"/>
          </w:tcPr>
          <w:p w14:paraId="79474ABC">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val="0"/>
                <w:bCs w:val="0"/>
                <w:i w:val="0"/>
                <w:iCs w:val="0"/>
                <w:sz w:val="28"/>
                <w:szCs w:val="28"/>
                <w:highlight w:val="none"/>
                <w:u w:val="none"/>
                <w:lang w:val="en-US" w:eastAsia="zh-CN"/>
              </w:rPr>
              <w:t>屯昌县农村产权交易中心有限公司</w:t>
            </w:r>
          </w:p>
        </w:tc>
      </w:tr>
      <w:tr w14:paraId="51244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613" w:type="dxa"/>
            <w:noWrap w:val="0"/>
            <w:vAlign w:val="center"/>
          </w:tcPr>
          <w:p w14:paraId="64F4B34D">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bCs/>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开户行</w:t>
            </w:r>
          </w:p>
        </w:tc>
        <w:tc>
          <w:tcPr>
            <w:tcW w:w="5967" w:type="dxa"/>
            <w:noWrap w:val="0"/>
            <w:vAlign w:val="center"/>
          </w:tcPr>
          <w:p w14:paraId="401CB58E">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val="0"/>
                <w:bCs w:val="0"/>
                <w:i w:val="0"/>
                <w:iCs w:val="0"/>
                <w:sz w:val="28"/>
                <w:szCs w:val="28"/>
                <w:highlight w:val="none"/>
                <w:u w:val="none"/>
                <w:lang w:val="en-US" w:eastAsia="zh-CN"/>
              </w:rPr>
              <w:t>海南农商行屯昌支行</w:t>
            </w:r>
          </w:p>
        </w:tc>
      </w:tr>
      <w:tr w14:paraId="5E49B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613" w:type="dxa"/>
            <w:noWrap w:val="0"/>
            <w:vAlign w:val="center"/>
          </w:tcPr>
          <w:p w14:paraId="1F446DC0">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bCs/>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账号</w:t>
            </w:r>
          </w:p>
        </w:tc>
        <w:tc>
          <w:tcPr>
            <w:tcW w:w="5967" w:type="dxa"/>
            <w:noWrap w:val="0"/>
            <w:vAlign w:val="center"/>
          </w:tcPr>
          <w:p w14:paraId="7DFE5017">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jc w:val="center"/>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val="0"/>
                <w:bCs w:val="0"/>
                <w:i w:val="0"/>
                <w:iCs w:val="0"/>
                <w:kern w:val="2"/>
                <w:sz w:val="28"/>
                <w:szCs w:val="28"/>
                <w:highlight w:val="none"/>
                <w:u w:val="none"/>
                <w:lang w:val="en-US" w:eastAsia="zh-CN" w:bidi="ar-SA"/>
              </w:rPr>
              <w:t>1021644500000152</w:t>
            </w:r>
          </w:p>
        </w:tc>
      </w:tr>
    </w:tbl>
    <w:p w14:paraId="0E5B88F2">
      <w:pPr>
        <w:spacing w:line="520" w:lineRule="exact"/>
        <w:ind w:firstLine="560" w:firstLineChars="200"/>
        <w:rPr>
          <w:rFonts w:hint="eastAsia" w:ascii="新宋体" w:hAnsi="新宋体" w:eastAsia="新宋体" w:cs="Times New Roman"/>
          <w:color w:val="auto"/>
          <w:sz w:val="28"/>
          <w:szCs w:val="28"/>
        </w:rPr>
      </w:pPr>
    </w:p>
    <w:p w14:paraId="65ED6E0D">
      <w:pPr>
        <w:spacing w:line="52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color w:val="auto"/>
          <w:sz w:val="28"/>
          <w:szCs w:val="28"/>
        </w:rPr>
        <w:t>24、未成交的竞买方交易保证金，平台将按《</w:t>
      </w:r>
      <w:r>
        <w:rPr>
          <w:rFonts w:hint="eastAsia" w:ascii="新宋体" w:hAnsi="新宋体" w:eastAsia="新宋体" w:cs="Times New Roman"/>
          <w:color w:val="auto"/>
          <w:sz w:val="28"/>
          <w:szCs w:val="28"/>
          <w:lang w:val="en-US" w:eastAsia="zh-CN"/>
        </w:rPr>
        <w:t>屯昌县农村产权交易中心</w:t>
      </w:r>
      <w:r>
        <w:rPr>
          <w:rFonts w:hint="eastAsia" w:ascii="新宋体" w:hAnsi="新宋体" w:eastAsia="新宋体" w:cs="Times New Roman"/>
          <w:color w:val="auto"/>
          <w:sz w:val="28"/>
          <w:szCs w:val="28"/>
        </w:rPr>
        <w:t>有限公司交易保证金操作规则（试行）》有关规定办理。</w:t>
      </w:r>
      <w:r>
        <w:rPr>
          <w:rFonts w:hint="eastAsia" w:ascii="新宋体" w:hAnsi="新宋体" w:eastAsia="新宋体" w:cs="Times New Roman"/>
          <w:b w:val="0"/>
          <w:bCs w:val="0"/>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25、竞买方未按信息公告内容或交易流程要求履行交易程序的，平台有权扣除交易保证金作为相关方的补偿。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26、交易双方自行办理标的交易价款结算，并进行标的交割。有需要办理变更、过户登记手续的，交易双方凭交易合同等材料到相关部门办理。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27、其他未尽事宜，按照服务协议、交易细则、交易文件及有关规定执行。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28、本《网络竞价须知》有关条款的解释权归平台所有，平台有权根据相关法律、法规进行变更和修订。</w:t>
      </w:r>
    </w:p>
    <w:p w14:paraId="707C359B">
      <w:pPr>
        <w:pStyle w:val="2"/>
        <w:ind w:left="2250" w:hanging="1200"/>
        <w:rPr>
          <w:color w:val="auto"/>
        </w:rPr>
      </w:pPr>
    </w:p>
    <w:p w14:paraId="4AC5A91F">
      <w:pPr>
        <w:rPr>
          <w:rFonts w:hint="eastAsia" w:eastAsiaTheme="minorEastAsia"/>
          <w:color w:val="auto"/>
          <w:lang w:eastAsia="zh-CN"/>
        </w:rPr>
      </w:pPr>
    </w:p>
    <w:p w14:paraId="7C6968E4">
      <w:pPr>
        <w:pStyle w:val="4"/>
        <w:rPr>
          <w:rFonts w:hint="eastAsia"/>
          <w:lang w:eastAsia="zh-CN"/>
        </w:rPr>
      </w:pPr>
    </w:p>
    <w:p w14:paraId="7E626F67">
      <w:pPr>
        <w:pStyle w:val="6"/>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76D8FB59">
      <w:pPr>
        <w:spacing w:line="520" w:lineRule="exact"/>
        <w:ind w:firstLine="3840" w:firstLineChars="1200"/>
        <w:rPr>
          <w:rFonts w:hint="eastAsia" w:ascii="Times New Roman" w:hAnsi="Times New Roman"/>
          <w:color w:val="auto"/>
          <w:sz w:val="32"/>
          <w:szCs w:val="32"/>
        </w:rPr>
      </w:pPr>
    </w:p>
    <w:p w14:paraId="54F72347">
      <w:pPr>
        <w:spacing w:line="520" w:lineRule="exact"/>
        <w:ind w:firstLine="4800" w:firstLineChars="1500"/>
        <w:rPr>
          <w:rFonts w:hint="eastAsia"/>
          <w:lang w:val="en-US" w:eastAsia="zh-CN"/>
        </w:rPr>
      </w:pPr>
      <w:r>
        <w:rPr>
          <w:rFonts w:hint="eastAsia" w:ascii="Times New Roman" w:hAnsi="Times New Roman"/>
          <w:color w:val="auto"/>
          <w:sz w:val="32"/>
          <w:szCs w:val="32"/>
          <w:lang w:val="en-US" w:eastAsia="zh-CN"/>
        </w:rPr>
        <w:t>竞买方</w:t>
      </w:r>
      <w:r>
        <w:rPr>
          <w:rFonts w:hint="eastAsia" w:ascii="Times New Roman" w:hAnsi="Times New Roman"/>
          <w:color w:val="auto"/>
          <w:sz w:val="32"/>
          <w:szCs w:val="32"/>
        </w:rPr>
        <w:t>（</w:t>
      </w:r>
      <w:r>
        <w:rPr>
          <w:rFonts w:hint="eastAsia" w:ascii="Times New Roman" w:hAnsi="Times New Roman"/>
          <w:color w:val="auto"/>
          <w:sz w:val="32"/>
          <w:szCs w:val="32"/>
          <w:lang w:val="en-US" w:eastAsia="zh-CN"/>
        </w:rPr>
        <w:t>签</w:t>
      </w:r>
      <w:r>
        <w:rPr>
          <w:rFonts w:hint="eastAsia" w:ascii="Times New Roman" w:hAnsi="Times New Roman"/>
          <w:color w:val="auto"/>
          <w:sz w:val="32"/>
          <w:szCs w:val="32"/>
        </w:rPr>
        <w:t>章）：</w:t>
      </w:r>
    </w:p>
    <w:p w14:paraId="23E78C29">
      <w:pPr>
        <w:bidi w:val="0"/>
        <w:rPr>
          <w:rFonts w:hint="eastAsia"/>
        </w:rPr>
      </w:pPr>
      <w:r>
        <w:rPr>
          <w:rFonts w:hint="eastAsia"/>
        </w:rPr>
        <w:t xml:space="preserve">            </w:t>
      </w:r>
      <w:r>
        <w:rPr>
          <w:rFonts w:hint="eastAsia"/>
          <w:sz w:val="32"/>
          <w:szCs w:val="32"/>
        </w:rPr>
        <w:t xml:space="preserve">        </w:t>
      </w:r>
      <w:r>
        <w:rPr>
          <w:rFonts w:hint="eastAsia"/>
          <w:sz w:val="32"/>
          <w:szCs w:val="32"/>
          <w:lang w:val="en-US" w:eastAsia="zh-CN"/>
        </w:rPr>
        <w:t xml:space="preserve">      </w:t>
      </w:r>
      <w:r>
        <w:rPr>
          <w:rFonts w:hint="eastAsia"/>
          <w:sz w:val="32"/>
          <w:szCs w:val="32"/>
        </w:rPr>
        <w:t xml:space="preserve">  </w:t>
      </w:r>
      <w:r>
        <w:rPr>
          <w:rFonts w:hint="eastAsia"/>
          <w:sz w:val="32"/>
          <w:szCs w:val="32"/>
          <w:lang w:val="en-US" w:eastAsia="zh-CN"/>
        </w:rPr>
        <w:t xml:space="preserve">         </w:t>
      </w:r>
      <w:r>
        <w:rPr>
          <w:rFonts w:hint="eastAsia"/>
          <w:sz w:val="32"/>
          <w:szCs w:val="32"/>
          <w:u w:val="single"/>
          <w:lang w:val="en-US" w:eastAsia="zh-CN"/>
        </w:rPr>
        <w:t xml:space="preserve">   </w:t>
      </w:r>
      <w:r>
        <w:rPr>
          <w:rFonts w:hint="eastAsia"/>
          <w:sz w:val="32"/>
          <w:szCs w:val="32"/>
          <w:u w:val="single"/>
        </w:rPr>
        <w:t xml:space="preserve"> </w:t>
      </w:r>
      <w:r>
        <w:rPr>
          <w:rFonts w:hint="eastAsia"/>
          <w:sz w:val="32"/>
          <w:szCs w:val="32"/>
          <w:u w:val="single"/>
          <w:lang w:val="en-US" w:eastAsia="zh-CN"/>
        </w:rPr>
        <w:t xml:space="preserve"> </w:t>
      </w:r>
      <w:r>
        <w:rPr>
          <w:rFonts w:hint="eastAsia"/>
          <w:sz w:val="32"/>
          <w:szCs w:val="32"/>
        </w:rPr>
        <w:t>年</w:t>
      </w:r>
      <w:r>
        <w:rPr>
          <w:rFonts w:hint="eastAsia"/>
          <w:sz w:val="32"/>
          <w:szCs w:val="32"/>
          <w:u w:val="single"/>
        </w:rPr>
        <w:t xml:space="preserve">   </w:t>
      </w:r>
      <w:r>
        <w:rPr>
          <w:rFonts w:hint="eastAsia"/>
          <w:sz w:val="32"/>
          <w:szCs w:val="32"/>
        </w:rPr>
        <w:t>月</w:t>
      </w:r>
      <w:r>
        <w:rPr>
          <w:rFonts w:hint="eastAsia"/>
          <w:sz w:val="32"/>
          <w:szCs w:val="32"/>
          <w:u w:val="single"/>
        </w:rPr>
        <w:t xml:space="preserve"> </w:t>
      </w:r>
      <w:r>
        <w:rPr>
          <w:rFonts w:hint="eastAsia"/>
          <w:sz w:val="32"/>
          <w:szCs w:val="32"/>
          <w:u w:val="single"/>
          <w:lang w:val="en-US" w:eastAsia="zh-CN"/>
        </w:rPr>
        <w:t xml:space="preserve"> </w:t>
      </w:r>
      <w:r>
        <w:rPr>
          <w:rFonts w:hint="eastAsia"/>
          <w:sz w:val="32"/>
          <w:szCs w:val="32"/>
          <w:u w:val="single"/>
        </w:rPr>
        <w:t xml:space="preserve"> </w:t>
      </w:r>
      <w:r>
        <w:rPr>
          <w:rFonts w:hint="eastAsia"/>
          <w:sz w:val="32"/>
          <w:szCs w:val="32"/>
        </w:rPr>
        <w:t>日</w:t>
      </w:r>
    </w:p>
    <w:p w14:paraId="77819D80">
      <w:pPr>
        <w:pStyle w:val="3"/>
        <w:spacing w:line="240" w:lineRule="auto"/>
        <w:rPr>
          <w:rFonts w:ascii="黑体" w:hAnsi="黑体"/>
          <w:color w:val="auto"/>
        </w:rPr>
      </w:pPr>
    </w:p>
    <w:p w14:paraId="4E1CB6E9">
      <w:pPr>
        <w:pStyle w:val="3"/>
        <w:spacing w:line="240" w:lineRule="auto"/>
        <w:jc w:val="both"/>
        <w:rPr>
          <w:rFonts w:ascii="黑体" w:hAnsi="黑体"/>
          <w:color w:val="auto"/>
        </w:rPr>
      </w:pPr>
    </w:p>
    <w:p w14:paraId="35399FA5">
      <w:pPr>
        <w:rPr>
          <w:rFonts w:ascii="黑体" w:hAnsi="黑体"/>
          <w:color w:val="auto"/>
        </w:rPr>
      </w:pPr>
    </w:p>
    <w:p w14:paraId="2B8A6AAC">
      <w:pPr>
        <w:pStyle w:val="3"/>
        <w:spacing w:line="240" w:lineRule="auto"/>
        <w:jc w:val="both"/>
        <w:rPr>
          <w:rFonts w:ascii="黑体" w:hAnsi="黑体"/>
          <w:color w:val="auto"/>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7"/>
      <w:bookmarkEnd w:id="8"/>
      <w:bookmarkEnd w:id="9"/>
      <w:bookmarkEnd w:id="10"/>
      <w:bookmarkEnd w:id="11"/>
      <w:bookmarkEnd w:id="12"/>
      <w:bookmarkEnd w:id="13"/>
      <w:bookmarkEnd w:id="14"/>
      <w:bookmarkEnd w:id="15"/>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lang w:val="en-US" w:eastAsia="zh-CN"/>
        </w:rPr>
        <w:t>屯昌县农村产权交易中心</w:t>
      </w:r>
      <w:r>
        <w:rPr>
          <w:rFonts w:hint="eastAsia" w:ascii="Times New Roman" w:hAnsi="Times New Roman"/>
          <w:color w:val="auto"/>
          <w:sz w:val="28"/>
          <w:szCs w:val="28"/>
        </w:rPr>
        <w:t>有限公司：</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Times New Roman" w:hAnsi="Times New Roman"/>
          <w:color w:val="auto"/>
          <w:sz w:val="28"/>
          <w:szCs w:val="28"/>
          <w:u w:val="single"/>
          <w:lang w:val="en-US" w:eastAsia="zh-CN"/>
        </w:rPr>
        <w:t>屯昌县南坤镇坤明路74、76号78.4㎡铺面出租</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Times New Roman" w:hAnsi="Times New Roman"/>
          <w:color w:val="auto"/>
          <w:sz w:val="28"/>
          <w:szCs w:val="28"/>
          <w:u w:val="single"/>
          <w:lang w:val="en-US" w:eastAsia="zh-CN"/>
        </w:rPr>
        <w:t>屯昌县南坤镇坤明路74、76号78.4㎡铺面出租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Times New Roman" w:hAnsi="Times New Roman"/>
          <w:color w:val="auto"/>
          <w:sz w:val="28"/>
          <w:szCs w:val="28"/>
          <w:u w:val="single"/>
          <w:lang w:val="en-US" w:eastAsia="zh-CN"/>
        </w:rPr>
        <w:t>屯昌县南坤镇坤明路74、76号78.4㎡铺面出租</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屯昌</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屯昌县农村产权交易服务平台</w:t>
      </w:r>
      <w:r>
        <w:rPr>
          <w:rFonts w:hint="eastAsia" w:ascii="新宋体" w:hAnsi="新宋体" w:eastAsia="新宋体" w:cs="Times New Roman"/>
          <w:color w:val="auto"/>
          <w:sz w:val="28"/>
          <w:szCs w:val="28"/>
        </w:rPr>
        <w:t>（https://tunchang.nongjiao.com/，以下简称“平台”）</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Times New Roman" w:hAnsi="Times New Roman"/>
          <w:color w:val="auto"/>
          <w:sz w:val="28"/>
          <w:szCs w:val="28"/>
          <w:lang w:val="en-US" w:eastAsia="zh-CN"/>
        </w:rPr>
        <w:t>屯昌县</w:t>
      </w:r>
      <w:r>
        <w:rPr>
          <w:rFonts w:hint="eastAsia" w:ascii="Times New Roman" w:hAnsi="Times New Roman"/>
          <w:color w:val="auto"/>
          <w:sz w:val="28"/>
          <w:szCs w:val="28"/>
        </w:rPr>
        <w:t>农村产权交易平台书面通知要求与出租（转让）方签署交易合同，并按《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2"/>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7C084D55">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auto"/>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u w:val="single"/>
        </w:rPr>
        <w:t>　　</w:t>
      </w:r>
      <w:r>
        <w:rPr>
          <w:rFonts w:hint="eastAsia" w:ascii="Times New Roman" w:hAnsi="Times New Roman"/>
          <w:color w:val="auto"/>
          <w:sz w:val="28"/>
          <w:szCs w:val="28"/>
          <w:u w:val="single"/>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u w:val="single"/>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u w:val="single"/>
          <w:lang w:val="en-US" w:eastAsia="zh-CN"/>
        </w:rPr>
        <w:t xml:space="preserve">   </w:t>
      </w:r>
      <w:r>
        <w:rPr>
          <w:rFonts w:hint="eastAsia" w:ascii="Times New Roman" w:hAnsi="Times New Roman"/>
          <w:color w:val="auto"/>
          <w:sz w:val="28"/>
          <w:szCs w:val="28"/>
        </w:rPr>
        <w:t>日</w:t>
      </w:r>
    </w:p>
    <w:p w14:paraId="04661BC6">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方正小标宋简体" w:hAnsi="方正小标宋简体" w:eastAsia="方正小标宋简体" w:cs="方正小标宋简体"/>
          <w:bCs/>
          <w:color w:val="auto"/>
          <w:szCs w:val="36"/>
        </w:rPr>
      </w:pPr>
      <w:r>
        <w:rPr>
          <w:rFonts w:hint="eastAsia" w:ascii="方正小标宋简体" w:hAnsi="方正小标宋简体" w:eastAsia="方正小标宋简体" w:cs="方正小标宋简体"/>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屯昌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屯昌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6"/>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lang w:val="en-US" w:eastAsia="zh-CN"/>
        </w:rPr>
        <w:t>屯昌县农村产权交易中心</w:t>
      </w:r>
      <w:r>
        <w:rPr>
          <w:rFonts w:hint="eastAsia" w:ascii="仿宋_GB2312" w:hAnsi="仿宋_GB2312" w:eastAsia="仿宋_GB2312" w:cs="仿宋_GB2312"/>
          <w:b/>
          <w:color w:val="auto"/>
          <w:sz w:val="36"/>
          <w:szCs w:val="30"/>
        </w:rPr>
        <w:t>有限公司制</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3"/>
        <w:spacing w:line="400" w:lineRule="exact"/>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意向承租（受让）函</w:t>
      </w:r>
    </w:p>
    <w:p w14:paraId="0474E8C9">
      <w:pPr>
        <w:rPr>
          <w:rFonts w:hint="eastAsia" w:ascii="新宋体" w:hAnsi="新宋体" w:eastAsia="新宋体" w:cs="新宋体"/>
          <w:bCs/>
          <w:color w:val="auto"/>
          <w:sz w:val="24"/>
          <w:szCs w:val="24"/>
        </w:rPr>
      </w:pPr>
      <w:r>
        <w:rPr>
          <w:rFonts w:hint="eastAsia" w:ascii="新宋体" w:hAnsi="新宋体" w:eastAsia="新宋体" w:cs="新宋体"/>
          <w:color w:val="auto"/>
          <w:sz w:val="24"/>
          <w:szCs w:val="24"/>
          <w:lang w:val="en-US" w:eastAsia="zh-CN"/>
        </w:rPr>
        <w:t>屯昌县农村产权交易中心</w:t>
      </w:r>
      <w:r>
        <w:rPr>
          <w:rFonts w:hint="eastAsia" w:ascii="新宋体" w:hAnsi="新宋体" w:eastAsia="新宋体" w:cs="新宋体"/>
          <w:color w:val="auto"/>
          <w:sz w:val="24"/>
          <w:szCs w:val="24"/>
        </w:rPr>
        <w:t>有限公司：</w:t>
      </w:r>
    </w:p>
    <w:p w14:paraId="0FE0754C">
      <w:pPr>
        <w:spacing w:line="440" w:lineRule="exact"/>
        <w:ind w:firstLine="480" w:firstLineChars="20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rFonts w:hint="eastAsia" w:ascii="新宋体" w:hAnsi="新宋体" w:eastAsia="新宋体" w:cs="新宋体"/>
          <w:color w:val="auto"/>
          <w:sz w:val="24"/>
          <w:szCs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新宋体" w:hAnsi="新宋体" w:eastAsia="新宋体" w:cs="新宋体"/>
          <w:bCs/>
          <w:color w:val="auto"/>
          <w:sz w:val="24"/>
          <w:szCs w:val="24"/>
        </w:rPr>
        <w:t>根据有关农村产权流转交易的法律法规及政策规定，本意向方现向</w:t>
      </w:r>
      <w:r>
        <w:rPr>
          <w:rFonts w:hint="eastAsia" w:ascii="新宋体" w:hAnsi="新宋体" w:eastAsia="新宋体" w:cs="新宋体"/>
          <w:bCs/>
          <w:color w:val="auto"/>
          <w:sz w:val="24"/>
          <w:szCs w:val="24"/>
          <w:lang w:val="en-US" w:eastAsia="zh-CN"/>
        </w:rPr>
        <w:t>屯昌县农村产权交易服务平台</w:t>
      </w:r>
      <w:r>
        <w:rPr>
          <w:rFonts w:hint="eastAsia" w:ascii="新宋体" w:hAnsi="新宋体" w:eastAsia="新宋体" w:cs="新宋体"/>
          <w:bCs/>
          <w:color w:val="auto"/>
          <w:sz w:val="24"/>
          <w:szCs w:val="24"/>
        </w:rPr>
        <w:t>（</w:t>
      </w:r>
      <w:r>
        <w:rPr>
          <w:rFonts w:hint="eastAsia" w:ascii="新宋体" w:hAnsi="新宋体" w:eastAsia="新宋体" w:cs="新宋体"/>
          <w:color w:val="auto"/>
          <w:sz w:val="24"/>
          <w:szCs w:val="24"/>
        </w:rPr>
        <w:t>https://tunchang.nongjiao.com/</w:t>
      </w:r>
      <w:r>
        <w:rPr>
          <w:rFonts w:hint="eastAsia" w:ascii="新宋体" w:hAnsi="新宋体" w:eastAsia="新宋体" w:cs="新宋体"/>
          <w:bCs/>
          <w:color w:val="auto"/>
          <w:sz w:val="24"/>
          <w:szCs w:val="24"/>
        </w:rPr>
        <w:t>，以下简称“平台”）申请承租（受让）</w:t>
      </w:r>
      <w:r>
        <w:rPr>
          <w:rFonts w:hint="eastAsia" w:ascii="新宋体" w:hAnsi="新宋体" w:eastAsia="新宋体" w:cs="新宋体"/>
          <w:bCs/>
          <w:color w:val="auto"/>
          <w:sz w:val="24"/>
          <w:szCs w:val="24"/>
          <w:u w:val="single"/>
          <w:lang w:val="en-US" w:eastAsia="zh-CN"/>
        </w:rPr>
        <w:t>屯昌县南坤镇坤明路74、76号78.4㎡铺面出租</w:t>
      </w:r>
      <w:r>
        <w:rPr>
          <w:rFonts w:hint="eastAsia" w:ascii="新宋体" w:hAnsi="新宋体" w:eastAsia="新宋体" w:cs="新宋体"/>
          <w:bCs/>
          <w:color w:val="auto"/>
          <w:sz w:val="24"/>
          <w:szCs w:val="24"/>
        </w:rPr>
        <w:t>，并承诺：</w:t>
      </w:r>
    </w:p>
    <w:p w14:paraId="66E36E10">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1、我方申请承租（受让）该项目，并接受项目公开挂牌信息所载的全部承租（受让）要求，我方承租（受让）行为已经过相应的有效内部决策并得到相应批准。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2、我方具有良好的财务状况、商业信用和农业投资经营能力，符合农村产权相关法律法规及政策对承租（受让）方条件的规定。</w:t>
      </w:r>
    </w:p>
    <w:p w14:paraId="5C980B9B">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3、我方对所填写的内容及提交的所有材料（包括原件、复印件）的真实性、合法性、有效性、完整性承担责任。</w:t>
      </w:r>
    </w:p>
    <w:p w14:paraId="24C8583C">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4、已知悉贵服务平台的交易规则，并充分理解和认可，同意按照贵服务平台《</w:t>
      </w:r>
      <w:r>
        <w:rPr>
          <w:rFonts w:hint="eastAsia" w:ascii="新宋体" w:hAnsi="新宋体" w:eastAsia="新宋体" w:cs="新宋体"/>
          <w:b/>
          <w:color w:val="auto"/>
          <w:sz w:val="24"/>
          <w:szCs w:val="24"/>
          <w:lang w:val="en-US" w:eastAsia="zh-CN"/>
        </w:rPr>
        <w:t>屯昌县农村产权交易服务平台</w:t>
      </w:r>
      <w:r>
        <w:rPr>
          <w:rFonts w:hint="eastAsia" w:ascii="新宋体" w:hAnsi="新宋体" w:eastAsia="新宋体" w:cs="新宋体"/>
          <w:b/>
          <w:color w:val="auto"/>
          <w:sz w:val="24"/>
          <w:szCs w:val="24"/>
        </w:rPr>
        <w:t>产权交易规则（试行）》等相关规定实施农村产权流转活动；信息公告期满后，若只征集到一个意向方，则协议成交；若征集到两个或两个以上意向方，则遵照相关规定，参与网络竞价。</w:t>
      </w:r>
    </w:p>
    <w:p w14:paraId="5B5BCB3D">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5、已知悉并认可贵服务平台的收费项目及标准，同意按规定交纳相关费用。</w:t>
      </w:r>
    </w:p>
    <w:p w14:paraId="0CE152A5">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6、本次意向申请系我方真实意愿，一经作出不予撤回或变更，我方将及时办理相关手续，配合接受资格审核，严格遵守有关交易规则。</w:t>
      </w:r>
    </w:p>
    <w:p w14:paraId="48512979">
      <w:pPr>
        <w:spacing w:line="440" w:lineRule="exact"/>
        <w:ind w:firstLine="482" w:firstLineChars="200"/>
        <w:rPr>
          <w:rFonts w:hint="eastAsia" w:ascii="新宋体" w:hAnsi="新宋体" w:eastAsia="新宋体" w:cs="新宋体"/>
          <w:b/>
          <w:color w:val="auto"/>
          <w:sz w:val="24"/>
          <w:szCs w:val="24"/>
        </w:rPr>
      </w:pPr>
      <w:bookmarkStart w:id="16" w:name="_Toc11532"/>
      <w:bookmarkStart w:id="17" w:name="_Toc13357"/>
      <w:bookmarkStart w:id="18" w:name="_Toc28981"/>
      <w:r>
        <w:rPr>
          <w:rFonts w:hint="eastAsia" w:ascii="新宋体" w:hAnsi="新宋体" w:eastAsia="新宋体" w:cs="新宋体"/>
          <w:b/>
          <w:color w:val="auto"/>
          <w:sz w:val="24"/>
          <w:szCs w:val="24"/>
        </w:rPr>
        <w:t>7、我方承诺不通过其他渠道进行本项目交易。</w:t>
      </w:r>
      <w:bookmarkEnd w:id="16"/>
      <w:bookmarkEnd w:id="17"/>
      <w:bookmarkEnd w:id="18"/>
    </w:p>
    <w:p w14:paraId="3FB280D4">
      <w:pPr>
        <w:pStyle w:val="6"/>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8、我方承诺在项目中标收到《标的竞得书》之后的规定时间内，完成合同签订及相关事宜，合同签订期间禁止将中标项目转让他人。</w:t>
      </w:r>
    </w:p>
    <w:p w14:paraId="53D1B95F">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9、我方承诺按平台规定交纳交易保证金，若我方无故放弃本项目或因我方自身原因放弃本项目的，视为违约，我方交纳的交易保证金将不予退还，作为违约金扣除。</w:t>
      </w:r>
    </w:p>
    <w:p w14:paraId="678865FC">
      <w:pPr>
        <w:pStyle w:val="6"/>
        <w:spacing w:line="440" w:lineRule="exact"/>
        <w:rPr>
          <w:rFonts w:hint="eastAsia" w:ascii="新宋体" w:hAnsi="新宋体" w:eastAsia="新宋体" w:cs="新宋体"/>
          <w:bCs/>
          <w:color w:val="auto"/>
          <w:sz w:val="24"/>
          <w:szCs w:val="24"/>
        </w:rPr>
      </w:pPr>
      <w:bookmarkStart w:id="19" w:name="_Toc31003"/>
      <w:bookmarkStart w:id="20" w:name="_Toc24611"/>
      <w:bookmarkStart w:id="21" w:name="_Toc7009"/>
      <w:r>
        <w:rPr>
          <w:rFonts w:hint="eastAsia" w:ascii="新宋体" w:hAnsi="新宋体" w:eastAsia="新宋体" w:cs="新宋体"/>
          <w:b/>
          <w:color w:val="auto"/>
          <w:sz w:val="24"/>
          <w:szCs w:val="24"/>
        </w:rPr>
        <w:t>10、最终解释权归</w:t>
      </w:r>
      <w:r>
        <w:rPr>
          <w:rFonts w:hint="eastAsia" w:ascii="新宋体" w:hAnsi="新宋体" w:eastAsia="新宋体" w:cs="新宋体"/>
          <w:b/>
          <w:color w:val="auto"/>
          <w:sz w:val="24"/>
          <w:szCs w:val="24"/>
          <w:lang w:val="en-US" w:eastAsia="zh-CN"/>
        </w:rPr>
        <w:t>屯昌县农村产权交易中心</w:t>
      </w:r>
      <w:r>
        <w:rPr>
          <w:rFonts w:hint="eastAsia" w:ascii="新宋体" w:hAnsi="新宋体" w:eastAsia="新宋体" w:cs="新宋体"/>
          <w:b/>
          <w:color w:val="auto"/>
          <w:sz w:val="24"/>
          <w:szCs w:val="24"/>
        </w:rPr>
        <w:t>有限公司。</w:t>
      </w:r>
      <w:bookmarkEnd w:id="19"/>
      <w:bookmarkEnd w:id="20"/>
      <w:bookmarkEnd w:id="21"/>
    </w:p>
    <w:p w14:paraId="14A4E8C0">
      <w:pPr>
        <w:spacing w:line="312" w:lineRule="auto"/>
        <w:ind w:firstLine="3840" w:firstLineChars="1600"/>
        <w:rPr>
          <w:rFonts w:hint="eastAsia" w:ascii="新宋体" w:hAnsi="新宋体" w:eastAsia="新宋体" w:cs="新宋体"/>
          <w:color w:val="auto"/>
          <w:sz w:val="24"/>
          <w:szCs w:val="24"/>
        </w:rPr>
      </w:pPr>
    </w:p>
    <w:p w14:paraId="3C8EB2A6">
      <w:pPr>
        <w:spacing w:line="296" w:lineRule="auto"/>
        <w:ind w:firstLine="3840" w:firstLineChars="1600"/>
        <w:rPr>
          <w:rFonts w:hint="eastAsia" w:ascii="新宋体" w:hAnsi="新宋体" w:eastAsia="新宋体" w:cs="新宋体"/>
          <w:color w:val="auto"/>
          <w:sz w:val="24"/>
          <w:szCs w:val="24"/>
          <w:u w:val="single"/>
        </w:rPr>
      </w:pPr>
      <w:bookmarkStart w:id="22" w:name="_Toc4535"/>
      <w:bookmarkStart w:id="23" w:name="_Toc29057"/>
      <w:bookmarkStart w:id="24" w:name="_Toc30986"/>
      <w:r>
        <w:rPr>
          <w:rFonts w:hint="eastAsia" w:ascii="新宋体" w:hAnsi="新宋体" w:eastAsia="新宋体" w:cs="新宋体"/>
          <w:color w:val="auto"/>
          <w:sz w:val="24"/>
          <w:szCs w:val="24"/>
        </w:rPr>
        <w:t>申 请 单 位（盖章）：</w:t>
      </w:r>
      <w:bookmarkEnd w:id="22"/>
      <w:bookmarkEnd w:id="23"/>
      <w:bookmarkEnd w:id="24"/>
      <w:r>
        <w:rPr>
          <w:rFonts w:hint="eastAsia" w:ascii="新宋体" w:hAnsi="新宋体" w:eastAsia="新宋体" w:cs="新宋体"/>
          <w:color w:val="auto"/>
          <w:sz w:val="24"/>
          <w:szCs w:val="24"/>
          <w:u w:val="single"/>
        </w:rPr>
        <w:t xml:space="preserve">                                                    </w:t>
      </w:r>
    </w:p>
    <w:p w14:paraId="3CD1D0E7">
      <w:pPr>
        <w:spacing w:line="296" w:lineRule="auto"/>
        <w:ind w:firstLine="3840" w:firstLineChars="1600"/>
        <w:outlineLvl w:val="1"/>
        <w:rPr>
          <w:rFonts w:hint="eastAsia" w:ascii="新宋体" w:hAnsi="新宋体" w:eastAsia="新宋体" w:cs="新宋体"/>
          <w:color w:val="auto"/>
          <w:sz w:val="24"/>
          <w:szCs w:val="24"/>
          <w:u w:val="single"/>
        </w:rPr>
      </w:pPr>
      <w:bookmarkStart w:id="25" w:name="_Toc17490"/>
      <w:bookmarkStart w:id="26" w:name="_Toc9059"/>
      <w:r>
        <w:rPr>
          <w:rFonts w:hint="eastAsia" w:ascii="新宋体" w:hAnsi="新宋体" w:eastAsia="新宋体" w:cs="新宋体"/>
          <w:color w:val="auto"/>
          <w:sz w:val="24"/>
          <w:szCs w:val="24"/>
        </w:rPr>
        <w:t>法定代表人（签字）：</w:t>
      </w:r>
      <w:bookmarkEnd w:id="25"/>
      <w:bookmarkEnd w:id="26"/>
      <w:r>
        <w:rPr>
          <w:rFonts w:hint="eastAsia" w:ascii="新宋体" w:hAnsi="新宋体" w:eastAsia="新宋体" w:cs="新宋体"/>
          <w:color w:val="auto"/>
          <w:sz w:val="24"/>
          <w:szCs w:val="24"/>
          <w:u w:val="single"/>
        </w:rPr>
        <w:t xml:space="preserve">                          </w:t>
      </w:r>
    </w:p>
    <w:p w14:paraId="4A8064C5">
      <w:pPr>
        <w:spacing w:line="296" w:lineRule="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 xml:space="preserve">                                申 请 日 期：</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年</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月</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日</w:t>
      </w:r>
    </w:p>
    <w:p w14:paraId="2A70383B">
      <w:pPr>
        <w:pStyle w:val="3"/>
        <w:spacing w:line="240" w:lineRule="auto"/>
        <w:rPr>
          <w:rFonts w:ascii="黑体" w:hAnsi="黑体"/>
          <w:color w:val="auto"/>
        </w:rPr>
      </w:pPr>
      <w:bookmarkStart w:id="27" w:name="_Toc4580"/>
      <w:bookmarkStart w:id="28" w:name="_Toc11237"/>
      <w:bookmarkStart w:id="29" w:name="_Toc13094"/>
      <w:bookmarkStart w:id="30" w:name="_Toc32101"/>
      <w:bookmarkStart w:id="31" w:name="_Toc14469"/>
      <w:bookmarkStart w:id="32" w:name="_Toc29841"/>
      <w:bookmarkStart w:id="33" w:name="_Toc12264"/>
      <w:r>
        <w:rPr>
          <w:rFonts w:hint="eastAsia" w:ascii="黑体" w:hAnsi="黑体"/>
          <w:color w:val="auto"/>
        </w:rPr>
        <w:t>意向承租（受让）方登记表</w:t>
      </w:r>
      <w:bookmarkEnd w:id="27"/>
      <w:bookmarkEnd w:id="28"/>
      <w:bookmarkEnd w:id="29"/>
      <w:bookmarkEnd w:id="30"/>
      <w:bookmarkEnd w:id="31"/>
      <w:bookmarkEnd w:id="32"/>
      <w:bookmarkEnd w:id="33"/>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316A6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690D98">
            <w:pPr>
              <w:spacing w:line="360" w:lineRule="auto"/>
              <w:jc w:val="center"/>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jc w:val="center"/>
              <w:rPr>
                <w:rFonts w:hint="default" w:ascii="宋体" w:hAnsi="宋体" w:eastAsia="宋体"/>
                <w:color w:val="auto"/>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jc w:val="center"/>
              <w:rPr>
                <w:rFonts w:hint="default" w:ascii="宋体" w:hAnsi="宋体" w:eastAsia="宋体"/>
                <w:color w:val="auto"/>
                <w:sz w:val="22"/>
                <w:lang w:val="en-US" w:eastAsia="zh-CN"/>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hint="default" w:ascii="宋体" w:hAnsi="宋体" w:eastAsia="宋体"/>
                <w:color w:val="auto"/>
                <w:sz w:val="22"/>
                <w:lang w:val="en-US" w:eastAsia="zh-CN"/>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hint="default" w:ascii="宋体" w:hAnsi="宋体" w:eastAsia="宋体"/>
                <w:color w:val="auto"/>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hint="default" w:ascii="宋体" w:hAnsi="宋体" w:eastAsia="宋体"/>
                <w:color w:val="auto"/>
                <w:sz w:val="22"/>
                <w:lang w:val="en-US" w:eastAsia="zh-CN"/>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hint="default" w:ascii="宋体" w:hAnsi="宋体" w:eastAsia="宋体"/>
                <w:color w:val="auto"/>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42CC675">
            <w:pPr>
              <w:spacing w:line="360" w:lineRule="auto"/>
              <w:jc w:val="center"/>
              <w:rPr>
                <w:rFonts w:hint="default" w:ascii="宋体" w:hAnsi="宋体" w:eastAsia="宋体"/>
                <w:color w:val="auto"/>
                <w:sz w:val="22"/>
                <w:lang w:val="en-US" w:eastAsia="zh-CN"/>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hint="default" w:ascii="宋体" w:hAnsi="宋体" w:eastAsia="宋体"/>
                <w:color w:val="auto"/>
                <w:sz w:val="22"/>
                <w:lang w:val="en-US" w:eastAsia="zh-CN"/>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hint="default" w:ascii="宋体" w:hAnsi="宋体" w:eastAsia="宋体"/>
                <w:color w:val="auto"/>
                <w:sz w:val="22"/>
                <w:lang w:val="en-US" w:eastAsia="zh-CN"/>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8"/>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4" w:name="OLE_LINK12"/>
            <w:r>
              <w:rPr>
                <w:rFonts w:hint="eastAsia" w:ascii="宋体" w:hAnsi="宋体" w:eastAsia="宋体"/>
                <w:color w:val="auto"/>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68F22406">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4D5E19A7">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0B1FD520">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r w14:paraId="2A92AEB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855C4C2">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BF46384">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D195F9B">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2A2CBEA">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D64B89E">
            <w:pPr>
              <w:spacing w:line="360" w:lineRule="auto"/>
              <w:rPr>
                <w:rFonts w:ascii="宋体" w:hAnsi="宋体" w:eastAsia="宋体"/>
                <w:color w:val="auto"/>
                <w:sz w:val="22"/>
              </w:rPr>
            </w:pPr>
          </w:p>
        </w:tc>
      </w:tr>
      <w:tr w14:paraId="65DB0180">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DA84F9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F663A6">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77E8943">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B6E1065">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9B1569B">
            <w:pPr>
              <w:spacing w:line="360" w:lineRule="auto"/>
              <w:jc w:val="center"/>
              <w:rPr>
                <w:rFonts w:hint="default" w:ascii="宋体" w:hAnsi="宋体" w:eastAsia="宋体"/>
                <w:color w:val="auto"/>
                <w:sz w:val="22"/>
                <w:lang w:val="en-US" w:eastAsia="zh-CN"/>
              </w:rPr>
            </w:pPr>
          </w:p>
        </w:tc>
      </w:tr>
    </w:tbl>
    <w:p w14:paraId="62793C3E">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04B69615">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3377BB91">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601E6AE9">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新宋体" w:hAnsi="新宋体" w:eastAsia="新宋体" w:cs="新宋体"/>
          <w:b/>
          <w:bCs/>
          <w:color w:val="auto"/>
          <w:sz w:val="36"/>
          <w:szCs w:val="36"/>
          <w:u w:val="single"/>
          <w:lang w:val="en-US" w:eastAsia="zh-CN"/>
        </w:rPr>
      </w:pPr>
      <w:r>
        <w:rPr>
          <w:rFonts w:hint="eastAsia" w:ascii="新宋体" w:hAnsi="新宋体" w:eastAsia="新宋体" w:cs="新宋体"/>
          <w:b/>
          <w:bCs/>
          <w:color w:val="auto"/>
          <w:sz w:val="36"/>
          <w:szCs w:val="36"/>
          <w:u w:val="single"/>
          <w:lang w:val="en-US" w:eastAsia="zh-CN"/>
        </w:rPr>
        <w:t>屯昌县南坤镇坤明路74、76号78.4㎡铺面出租</w:t>
      </w:r>
    </w:p>
    <w:p w14:paraId="16F2920D">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新宋体" w:hAnsi="新宋体" w:eastAsia="新宋体" w:cs="新宋体"/>
          <w:b/>
          <w:bCs/>
          <w:color w:val="auto"/>
          <w:sz w:val="36"/>
          <w:szCs w:val="36"/>
        </w:rPr>
      </w:pPr>
      <w:r>
        <w:rPr>
          <w:rFonts w:hint="eastAsia" w:ascii="新宋体" w:hAnsi="新宋体" w:eastAsia="新宋体" w:cs="新宋体"/>
          <w:b/>
          <w:bCs/>
          <w:color w:val="auto"/>
          <w:sz w:val="36"/>
          <w:szCs w:val="36"/>
          <w:lang w:val="en-US" w:eastAsia="zh-CN"/>
        </w:rPr>
        <w:t>交易</w:t>
      </w:r>
      <w:r>
        <w:rPr>
          <w:rFonts w:hint="eastAsia" w:ascii="新宋体" w:hAnsi="新宋体" w:eastAsia="新宋体" w:cs="新宋体"/>
          <w:b/>
          <w:bCs/>
          <w:color w:val="auto"/>
          <w:sz w:val="36"/>
          <w:szCs w:val="36"/>
        </w:rPr>
        <w:t>公示</w:t>
      </w:r>
    </w:p>
    <w:p w14:paraId="5646C5BB">
      <w:pPr>
        <w:pStyle w:val="4"/>
        <w:keepNext/>
        <w:keepLines/>
        <w:pageBreakBefore w:val="0"/>
        <w:widowControl w:val="0"/>
        <w:kinsoku/>
        <w:wordWrap/>
        <w:overflowPunct/>
        <w:topLinePunct w:val="0"/>
        <w:autoSpaceDE/>
        <w:autoSpaceDN/>
        <w:bidi w:val="0"/>
        <w:adjustRightInd/>
        <w:snapToGrid/>
        <w:spacing w:before="0" w:after="0" w:line="590" w:lineRule="exact"/>
        <w:textAlignment w:val="auto"/>
        <w:rPr>
          <w:rFonts w:hint="eastAsia"/>
        </w:rPr>
      </w:pPr>
    </w:p>
    <w:p w14:paraId="12AF6930">
      <w:pPr>
        <w:keepNext w:val="0"/>
        <w:keepLines w:val="0"/>
        <w:pageBreakBefore w:val="0"/>
        <w:widowControl w:val="0"/>
        <w:kinsoku/>
        <w:overflowPunct/>
        <w:topLinePunct w:val="0"/>
        <w:autoSpaceDE/>
        <w:autoSpaceDN/>
        <w:bidi w:val="0"/>
        <w:adjustRightInd/>
        <w:snapToGrid/>
        <w:spacing w:line="590" w:lineRule="exact"/>
        <w:ind w:firstLine="640" w:firstLineChars="200"/>
        <w:textAlignment w:val="auto"/>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cstheme="minorEastAsia"/>
          <w:color w:val="auto"/>
          <w:sz w:val="32"/>
          <w:szCs w:val="32"/>
          <w:u w:val="single"/>
          <w:lang w:val="en-US" w:eastAsia="zh-CN"/>
        </w:rPr>
        <w:t>屯昌县南坤供销社</w:t>
      </w:r>
      <w:r>
        <w:rPr>
          <w:rFonts w:hint="eastAsia" w:asciiTheme="minorEastAsia" w:hAnsiTheme="minorEastAsia" w:eastAsiaTheme="minorEastAsia" w:cstheme="minorEastAsia"/>
          <w:color w:val="auto"/>
          <w:sz w:val="32"/>
          <w:szCs w:val="32"/>
        </w:rPr>
        <w:t>召开会议决议，同意</w:t>
      </w:r>
      <w:r>
        <w:rPr>
          <w:rFonts w:hint="eastAsia" w:asciiTheme="minorEastAsia" w:hAnsiTheme="minorEastAsia" w:cstheme="minorEastAsia"/>
          <w:color w:val="auto"/>
          <w:sz w:val="32"/>
          <w:szCs w:val="32"/>
          <w:u w:val="single"/>
          <w:lang w:val="en-US" w:eastAsia="zh-CN"/>
        </w:rPr>
        <w:t>屯昌县南坤镇坤明路74、76号78.4㎡铺面出租</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屯昌县农村产权交易服务平台</w:t>
      </w:r>
      <w:r>
        <w:rPr>
          <w:rFonts w:hint="eastAsia" w:asciiTheme="minorEastAsia" w:hAnsiTheme="minorEastAsia" w:eastAsiaTheme="minorEastAsia" w:cstheme="minorEastAsia"/>
          <w:color w:val="auto"/>
          <w:sz w:val="32"/>
          <w:szCs w:val="32"/>
        </w:rPr>
        <w:t>（</w:t>
      </w:r>
      <w:r>
        <w:rPr>
          <w:rFonts w:hint="eastAsia" w:ascii="新宋体" w:hAnsi="新宋体" w:eastAsia="新宋体" w:cs="Times New Roman"/>
          <w:color w:val="auto"/>
          <w:sz w:val="28"/>
          <w:szCs w:val="28"/>
        </w:rPr>
        <w:t>https://tunchang.nongjiao.com/</w:t>
      </w:r>
      <w:r>
        <w:rPr>
          <w:rFonts w:hint="eastAsia" w:asciiTheme="minorEastAsia" w:hAnsiTheme="minorEastAsia" w:eastAsiaTheme="minorEastAsia" w:cstheme="minorEastAsia"/>
          <w:color w:val="auto"/>
          <w:sz w:val="32"/>
          <w:szCs w:val="32"/>
        </w:rPr>
        <w:t>，以下简称“平台”）进行出租交易，依据《</w:t>
      </w:r>
      <w:r>
        <w:rPr>
          <w:rFonts w:hint="eastAsia" w:asciiTheme="minorEastAsia" w:hAnsiTheme="minorEastAsia" w:cstheme="minorEastAsia"/>
          <w:color w:val="auto"/>
          <w:sz w:val="32"/>
          <w:szCs w:val="32"/>
          <w:lang w:val="en-US" w:eastAsia="zh-CN"/>
        </w:rPr>
        <w:t>屯昌县</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5E0D3AE1">
      <w:pPr>
        <w:keepNext w:val="0"/>
        <w:keepLines w:val="0"/>
        <w:pageBreakBefore w:val="0"/>
        <w:widowControl w:val="0"/>
        <w:numPr>
          <w:ilvl w:val="0"/>
          <w:numId w:val="3"/>
        </w:numPr>
        <w:kinsoku/>
        <w:wordWrap/>
        <w:overflowPunct/>
        <w:topLinePunct w:val="0"/>
        <w:autoSpaceDE/>
        <w:autoSpaceDN/>
        <w:bidi w:val="0"/>
        <w:adjustRightInd/>
        <w:snapToGrid/>
        <w:spacing w:line="590" w:lineRule="exact"/>
        <w:ind w:firstLine="0" w:firstLineChars="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42F42192">
      <w:pPr>
        <w:keepNext w:val="0"/>
        <w:keepLines w:val="0"/>
        <w:pageBreakBefore w:val="0"/>
        <w:widowControl w:val="0"/>
        <w:numPr>
          <w:ilvl w:val="0"/>
          <w:numId w:val="0"/>
        </w:numPr>
        <w:kinsoku/>
        <w:overflowPunct/>
        <w:topLinePunct w:val="0"/>
        <w:autoSpaceDE/>
        <w:autoSpaceDN/>
        <w:bidi w:val="0"/>
        <w:adjustRightInd/>
        <w:snapToGrid/>
        <w:spacing w:line="590" w:lineRule="exact"/>
        <w:ind w:left="559" w:leftChars="266" w:firstLine="0" w:firstLineChars="0"/>
        <w:textAlignment w:val="auto"/>
        <w:rPr>
          <w:rFonts w:hint="eastAsia" w:asciiTheme="minorEastAsia" w:hAnsiTheme="minorEastAsia" w:eastAsiaTheme="minorEastAsia" w:cstheme="minorEastAsia"/>
          <w:color w:val="FF0000"/>
          <w:sz w:val="28"/>
          <w:szCs w:val="28"/>
          <w:lang w:val="en-US" w:eastAsia="zh-CN"/>
        </w:rPr>
      </w:pPr>
      <w:r>
        <w:rPr>
          <w:rFonts w:hint="eastAsia" w:asciiTheme="minorEastAsia" w:hAnsiTheme="minorEastAsia" w:eastAsiaTheme="minorEastAsia" w:cstheme="minorEastAsia"/>
          <w:color w:val="auto"/>
          <w:sz w:val="28"/>
          <w:szCs w:val="28"/>
          <w:lang w:val="en-US" w:eastAsia="zh-CN"/>
        </w:rPr>
        <w:t>标的名称：</w:t>
      </w:r>
      <w:bookmarkStart w:id="35" w:name="OLE_LINK10"/>
      <w:r>
        <w:rPr>
          <w:rFonts w:hint="eastAsia" w:asciiTheme="minorEastAsia" w:hAnsiTheme="minorEastAsia" w:eastAsiaTheme="minorEastAsia" w:cstheme="minorEastAsia"/>
          <w:color w:val="auto"/>
          <w:sz w:val="28"/>
          <w:szCs w:val="28"/>
          <w:lang w:val="en-US" w:eastAsia="zh-CN"/>
        </w:rPr>
        <w:t>屯昌县南坤镇坤明路74、76号78.4㎡铺面出租</w:t>
      </w:r>
    </w:p>
    <w:p w14:paraId="61EE8F41">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w:t>
      </w:r>
      <w:r>
        <w:rPr>
          <w:rFonts w:hint="eastAsia" w:asciiTheme="minorEastAsia" w:hAnsiTheme="minorEastAsia" w:eastAsiaTheme="minorEastAsia" w:cstheme="minorEastAsia"/>
          <w:color w:val="auto"/>
          <w:sz w:val="28"/>
          <w:szCs w:val="28"/>
          <w:lang w:val="en-US" w:eastAsia="zh-CN"/>
        </w:rPr>
        <w:t>方</w:t>
      </w:r>
      <w:r>
        <w:rPr>
          <w:rFonts w:hint="eastAsia" w:asciiTheme="minorEastAsia" w:hAnsiTheme="minorEastAsia" w:cstheme="minorEastAsia"/>
          <w:color w:val="auto"/>
          <w:sz w:val="28"/>
          <w:szCs w:val="28"/>
          <w:lang w:val="en-US" w:eastAsia="zh-CN"/>
        </w:rPr>
        <w:t>：屯昌县南坤供销社</w:t>
      </w:r>
    </w:p>
    <w:p w14:paraId="0B8E3215">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出租面积：78.4㎡</w:t>
      </w:r>
    </w:p>
    <w:p w14:paraId="0D5908A4">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出租年限：3年</w:t>
      </w:r>
    </w:p>
    <w:p w14:paraId="0D0DDCAE">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cstheme="minorEastAsia"/>
          <w:color w:val="FF0000"/>
          <w:sz w:val="28"/>
          <w:szCs w:val="28"/>
          <w:lang w:val="en-US" w:eastAsia="zh-CN"/>
        </w:rPr>
      </w:pPr>
      <w:r>
        <w:rPr>
          <w:rFonts w:hint="eastAsia" w:asciiTheme="minorEastAsia" w:hAnsiTheme="minorEastAsia" w:cstheme="minorEastAsia"/>
          <w:color w:val="auto"/>
          <w:sz w:val="28"/>
          <w:szCs w:val="28"/>
          <w:lang w:val="en-US" w:eastAsia="zh-CN"/>
        </w:rPr>
        <w:t>挂网底价：15996元/年</w:t>
      </w:r>
    </w:p>
    <w:p w14:paraId="4DEF106F">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交易保证金：9597元</w:t>
      </w:r>
      <w:bookmarkStart w:id="36" w:name="_GoBack"/>
      <w:bookmarkEnd w:id="36"/>
    </w:p>
    <w:p w14:paraId="5C2E7644">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报名时间：2026/7/16 10:00:00至2026/7/22 16:00:00</w:t>
      </w:r>
    </w:p>
    <w:p w14:paraId="596FB08B">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竞拍时间：</w:t>
      </w:r>
      <w:bookmarkEnd w:id="35"/>
      <w:r>
        <w:rPr>
          <w:rFonts w:hint="eastAsia" w:asciiTheme="minorEastAsia" w:hAnsiTheme="minorEastAsia" w:cstheme="minorEastAsia"/>
          <w:color w:val="auto"/>
          <w:sz w:val="28"/>
          <w:szCs w:val="28"/>
          <w:lang w:val="en-US" w:eastAsia="zh-CN"/>
        </w:rPr>
        <w:t>2026/7/23 10:00:00</w:t>
      </w:r>
    </w:p>
    <w:p w14:paraId="5071C517">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eastAsiaTheme="minorEastAsia" w:cstheme="minorEastAsia"/>
          <w:color w:val="FF0000"/>
          <w:sz w:val="28"/>
          <w:szCs w:val="28"/>
          <w:lang w:val="en-US" w:eastAsia="zh-CN"/>
        </w:rPr>
      </w:pPr>
      <w:r>
        <w:rPr>
          <w:rFonts w:hint="eastAsia" w:asciiTheme="minorEastAsia" w:hAnsiTheme="minorEastAsia" w:eastAsiaTheme="minorEastAsia" w:cstheme="minorEastAsia"/>
          <w:color w:val="auto"/>
          <w:sz w:val="28"/>
          <w:szCs w:val="28"/>
        </w:rPr>
        <w:t>付款方式：</w:t>
      </w:r>
      <w:r>
        <w:rPr>
          <w:rFonts w:hint="eastAsia" w:asciiTheme="minorEastAsia" w:hAnsiTheme="minorEastAsia" w:cstheme="minorEastAsia"/>
          <w:color w:val="auto"/>
          <w:sz w:val="28"/>
          <w:szCs w:val="28"/>
          <w:lang w:val="en-US" w:eastAsia="zh-CN"/>
        </w:rPr>
        <w:t>一年一付</w:t>
      </w:r>
    </w:p>
    <w:p w14:paraId="0452AC30">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现场勘查联系方式：冯先生 17789770907</w:t>
      </w:r>
    </w:p>
    <w:p w14:paraId="54F7E618">
      <w:pPr>
        <w:keepNext w:val="0"/>
        <w:keepLines w:val="0"/>
        <w:pageBreakBefore w:val="0"/>
        <w:widowControl w:val="0"/>
        <w:kinsoku/>
        <w:wordWrap/>
        <w:overflowPunct/>
        <w:topLinePunct w:val="0"/>
        <w:autoSpaceDE/>
        <w:autoSpaceDN/>
        <w:bidi w:val="0"/>
        <w:adjustRightInd/>
        <w:snapToGrid/>
        <w:spacing w:line="590" w:lineRule="exact"/>
        <w:ind w:firstLine="0" w:firstLineChars="0"/>
        <w:textAlignment w:val="auto"/>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01E07DE5">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65301C86">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w:t>
      </w:r>
      <w:r>
        <w:rPr>
          <w:rFonts w:hint="eastAsia" w:asciiTheme="minorEastAsia" w:hAnsiTheme="minorEastAsia" w:cstheme="minorEastAsia"/>
          <w:color w:val="auto"/>
          <w:sz w:val="28"/>
          <w:szCs w:val="28"/>
          <w:lang w:val="en-US" w:eastAsia="zh-CN"/>
        </w:rPr>
        <w:t>7814844</w:t>
      </w:r>
      <w:r>
        <w:rPr>
          <w:rFonts w:hint="eastAsia" w:asciiTheme="minorEastAsia" w:hAnsiTheme="minorEastAsia" w:eastAsiaTheme="minorEastAsia" w:cstheme="minorEastAsia"/>
          <w:color w:val="auto"/>
          <w:sz w:val="28"/>
          <w:szCs w:val="28"/>
        </w:rPr>
        <w:t>（报名热线）</w:t>
      </w:r>
    </w:p>
    <w:p w14:paraId="22AA48A7">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报名地址：</w:t>
      </w:r>
      <w:r>
        <w:rPr>
          <w:rFonts w:hint="eastAsia" w:asciiTheme="minorEastAsia" w:hAnsiTheme="minorEastAsia" w:cstheme="minorEastAsia"/>
          <w:color w:val="auto"/>
          <w:sz w:val="28"/>
          <w:szCs w:val="28"/>
          <w:lang w:val="en-US" w:eastAsia="zh-CN"/>
        </w:rPr>
        <w:t>海南省屯昌县屯城镇环东一路东侧昌顺花园6#-B幢102号</w:t>
      </w:r>
    </w:p>
    <w:p w14:paraId="1C36EA52">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项目在平台挂网公告中，欢迎意向客户报名竞投!详情请登录 https://tunchang.nongjiao.com/查看，以网站项目详情页为准。</w:t>
      </w:r>
    </w:p>
    <w:p w14:paraId="27C93056">
      <w:pPr>
        <w:pStyle w:val="6"/>
        <w:keepNext w:val="0"/>
        <w:keepLines w:val="0"/>
        <w:pageBreakBefore w:val="0"/>
        <w:widowControl w:val="0"/>
        <w:kinsoku/>
        <w:overflowPunct/>
        <w:topLinePunct w:val="0"/>
        <w:autoSpaceDE/>
        <w:autoSpaceDN/>
        <w:bidi w:val="0"/>
        <w:adjustRightInd/>
        <w:snapToGrid/>
        <w:spacing w:line="590" w:lineRule="exact"/>
        <w:ind w:left="0" w:leftChars="0" w:firstLine="0" w:firstLineChars="0"/>
        <w:jc w:val="both"/>
        <w:textAlignment w:val="auto"/>
        <w:rPr>
          <w:rFonts w:hint="eastAsia"/>
          <w:b/>
          <w:bCs/>
          <w:color w:val="auto"/>
          <w:sz w:val="28"/>
          <w:szCs w:val="36"/>
        </w:rPr>
      </w:pPr>
    </w:p>
    <w:p w14:paraId="2A9C0B32">
      <w:pPr>
        <w:pStyle w:val="6"/>
        <w:keepNext w:val="0"/>
        <w:keepLines w:val="0"/>
        <w:pageBreakBefore w:val="0"/>
        <w:widowControl w:val="0"/>
        <w:kinsoku/>
        <w:overflowPunct/>
        <w:topLinePunct w:val="0"/>
        <w:autoSpaceDE/>
        <w:autoSpaceDN/>
        <w:bidi w:val="0"/>
        <w:adjustRightInd/>
        <w:snapToGrid/>
        <w:spacing w:line="590" w:lineRule="exact"/>
        <w:ind w:left="0" w:leftChars="0" w:firstLine="562" w:firstLineChars="200"/>
        <w:jc w:val="both"/>
        <w:textAlignment w:val="auto"/>
        <w:rPr>
          <w:rFonts w:hint="eastAsia"/>
          <w:b/>
          <w:bCs/>
          <w:color w:val="auto"/>
          <w:sz w:val="28"/>
          <w:szCs w:val="36"/>
        </w:rPr>
      </w:pPr>
      <w:r>
        <w:rPr>
          <w:rFonts w:hint="eastAsia"/>
          <w:b/>
          <w:bCs/>
          <w:color w:val="auto"/>
          <w:sz w:val="28"/>
          <w:szCs w:val="36"/>
        </w:rPr>
        <w:t>已详细阅读此交易公示，对此交易公示内容无异议。</w:t>
      </w:r>
    </w:p>
    <w:p w14:paraId="318E0460">
      <w:pPr>
        <w:pStyle w:val="6"/>
        <w:keepNext w:val="0"/>
        <w:keepLines w:val="0"/>
        <w:pageBreakBefore w:val="0"/>
        <w:widowControl w:val="0"/>
        <w:kinsoku/>
        <w:overflowPunct/>
        <w:topLinePunct w:val="0"/>
        <w:autoSpaceDE/>
        <w:autoSpaceDN/>
        <w:bidi w:val="0"/>
        <w:adjustRightInd/>
        <w:snapToGrid/>
        <w:spacing w:line="590" w:lineRule="exact"/>
        <w:ind w:firstLine="562" w:firstLineChars="200"/>
        <w:jc w:val="right"/>
        <w:textAlignment w:val="auto"/>
        <w:rPr>
          <w:rFonts w:hint="eastAsia"/>
          <w:b/>
          <w:bCs/>
          <w:color w:val="auto"/>
          <w:sz w:val="28"/>
          <w:szCs w:val="36"/>
        </w:rPr>
      </w:pPr>
    </w:p>
    <w:p w14:paraId="1D3C857A">
      <w:pPr>
        <w:pStyle w:val="6"/>
        <w:keepNext w:val="0"/>
        <w:keepLines w:val="0"/>
        <w:pageBreakBefore w:val="0"/>
        <w:widowControl w:val="0"/>
        <w:kinsoku/>
        <w:wordWrap w:val="0"/>
        <w:overflowPunct/>
        <w:topLinePunct w:val="0"/>
        <w:autoSpaceDE/>
        <w:autoSpaceDN/>
        <w:bidi w:val="0"/>
        <w:adjustRightInd/>
        <w:snapToGrid/>
        <w:spacing w:line="590" w:lineRule="exact"/>
        <w:ind w:firstLine="562" w:firstLineChars="200"/>
        <w:jc w:val="center"/>
        <w:textAlignment w:val="auto"/>
        <w:rPr>
          <w:b/>
          <w:bCs/>
          <w:color w:val="auto"/>
          <w:sz w:val="28"/>
          <w:szCs w:val="36"/>
        </w:rPr>
      </w:pPr>
      <w:r>
        <w:rPr>
          <w:rFonts w:hint="eastAsia"/>
          <w:b/>
          <w:bCs/>
          <w:color w:val="auto"/>
          <w:sz w:val="28"/>
          <w:szCs w:val="36"/>
          <w:lang w:val="en-US" w:eastAsia="zh-CN"/>
        </w:rPr>
        <w:t xml:space="preserve">                             竞买方</w:t>
      </w:r>
      <w:r>
        <w:rPr>
          <w:rFonts w:hint="eastAsia"/>
          <w:b/>
          <w:bCs/>
          <w:color w:val="auto"/>
          <w:sz w:val="28"/>
          <w:szCs w:val="36"/>
        </w:rPr>
        <w:t>（</w:t>
      </w:r>
      <w:r>
        <w:rPr>
          <w:rFonts w:hint="eastAsia"/>
          <w:b/>
          <w:bCs/>
          <w:color w:val="auto"/>
          <w:sz w:val="28"/>
          <w:szCs w:val="36"/>
          <w:lang w:val="en-US" w:eastAsia="zh-CN"/>
        </w:rPr>
        <w:t>签</w:t>
      </w:r>
      <w:r>
        <w:rPr>
          <w:rFonts w:hint="eastAsia"/>
          <w:b/>
          <w:bCs/>
          <w:color w:val="auto"/>
          <w:sz w:val="28"/>
          <w:szCs w:val="36"/>
        </w:rPr>
        <w:t xml:space="preserve">章）：     </w:t>
      </w:r>
    </w:p>
    <w:p w14:paraId="5FCD391D">
      <w:pPr>
        <w:keepNext w:val="0"/>
        <w:keepLines w:val="0"/>
        <w:pageBreakBefore w:val="0"/>
        <w:widowControl w:val="0"/>
        <w:kinsoku/>
        <w:overflowPunct/>
        <w:topLinePunct w:val="0"/>
        <w:autoSpaceDE/>
        <w:autoSpaceDN/>
        <w:bidi w:val="0"/>
        <w:adjustRightInd/>
        <w:snapToGrid/>
        <w:spacing w:line="590" w:lineRule="exact"/>
        <w:ind w:firstLine="562" w:firstLineChars="200"/>
        <w:textAlignment w:val="auto"/>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 xml:space="preserve">   </w:t>
      </w:r>
      <w:r>
        <w:rPr>
          <w:rFonts w:hint="eastAsia"/>
          <w:b/>
          <w:bCs/>
          <w:color w:val="auto"/>
          <w:sz w:val="28"/>
          <w:szCs w:val="36"/>
          <w:u w:val="single"/>
        </w:rPr>
        <w:t xml:space="preserve"> </w:t>
      </w:r>
      <w:r>
        <w:rPr>
          <w:rFonts w:hint="eastAsia"/>
          <w:b/>
          <w:bCs/>
          <w:color w:val="auto"/>
          <w:sz w:val="28"/>
          <w:szCs w:val="36"/>
          <w:u w:val="single"/>
          <w:lang w:val="en-US" w:eastAsia="zh-CN"/>
        </w:rPr>
        <w:t xml:space="preserve">    </w:t>
      </w:r>
      <w:r>
        <w:rPr>
          <w:rFonts w:hint="eastAsia"/>
          <w:b/>
          <w:bCs/>
          <w:color w:val="auto"/>
          <w:sz w:val="28"/>
          <w:szCs w:val="36"/>
        </w:rPr>
        <w:t>年</w:t>
      </w:r>
      <w:r>
        <w:rPr>
          <w:rFonts w:hint="eastAsia"/>
          <w:b/>
          <w:bCs/>
          <w:color w:val="auto"/>
          <w:sz w:val="28"/>
          <w:szCs w:val="36"/>
          <w:u w:val="single"/>
          <w:lang w:val="en-US" w:eastAsia="zh-CN"/>
        </w:rPr>
        <w:t xml:space="preserve">    </w:t>
      </w:r>
      <w:r>
        <w:rPr>
          <w:rFonts w:hint="eastAsia"/>
          <w:b/>
          <w:bCs/>
          <w:color w:val="auto"/>
          <w:sz w:val="28"/>
          <w:szCs w:val="36"/>
        </w:rPr>
        <w:t>月</w:t>
      </w:r>
      <w:r>
        <w:rPr>
          <w:rFonts w:hint="eastAsia"/>
          <w:b/>
          <w:bCs/>
          <w:color w:val="auto"/>
          <w:sz w:val="28"/>
          <w:szCs w:val="36"/>
          <w:u w:val="single"/>
          <w:lang w:val="en-US" w:eastAsia="zh-CN"/>
        </w:rPr>
        <w:t xml:space="preserve">    </w:t>
      </w:r>
      <w:r>
        <w:rPr>
          <w:rFonts w:hint="eastAsia"/>
          <w:b/>
          <w:bCs/>
          <w:color w:val="auto"/>
          <w:sz w:val="28"/>
          <w:szCs w:val="36"/>
        </w:rPr>
        <w:t xml:space="preserve">日  </w:t>
      </w:r>
    </w:p>
    <w:p w14:paraId="32F9712E">
      <w:pPr>
        <w:pStyle w:val="8"/>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E8AF146-2817-4AFF-AC40-092C94DB2138}"/>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embedRegular r:id="rId2" w:fontKey="{A0FAB55A-F5D4-4B52-B07F-900058329174}"/>
  </w:font>
  <w:font w:name="仿宋_GB2312">
    <w:panose1 w:val="02010609030101010101"/>
    <w:charset w:val="86"/>
    <w:family w:val="modern"/>
    <w:pitch w:val="default"/>
    <w:sig w:usb0="00000001" w:usb1="080E0000" w:usb2="00000000" w:usb3="00000000" w:csb0="00040000" w:csb1="00000000"/>
    <w:embedRegular r:id="rId3" w:fontKey="{4A4B4C43-5B27-4B50-91B1-F712524D93D2}"/>
  </w:font>
  <w:font w:name="方正小标宋简体">
    <w:panose1 w:val="02000000000000000000"/>
    <w:charset w:val="86"/>
    <w:family w:val="auto"/>
    <w:pitch w:val="default"/>
    <w:sig w:usb0="00000001" w:usb1="08000000" w:usb2="00000000" w:usb3="00000000" w:csb0="00040000" w:csb1="00000000"/>
    <w:embedRegular r:id="rId4" w:fontKey="{887AF707-690F-45EA-A5CE-6B83C1C82AB0}"/>
  </w:font>
  <w:font w:name="WPSEMBED1">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E9FDB2">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CB2653">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FCB2653">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0170C7">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VkODQ0YmViZGVjNGM4Y2VlODQ3MTAxOGU0MzYyNmIifQ=="/>
    <w:docVar w:name="KSO_WPS_MARK_KEY" w:val="a071b07a-f89d-47b9-a9e7-8c7759051b1b"/>
  </w:docVars>
  <w:rsids>
    <w:rsidRoot w:val="00125DA0"/>
    <w:rsid w:val="00075E67"/>
    <w:rsid w:val="00125DA0"/>
    <w:rsid w:val="00167AC6"/>
    <w:rsid w:val="00B57B36"/>
    <w:rsid w:val="00CD7376"/>
    <w:rsid w:val="00E03B4E"/>
    <w:rsid w:val="00E541D7"/>
    <w:rsid w:val="02670C2E"/>
    <w:rsid w:val="03F37316"/>
    <w:rsid w:val="042277FF"/>
    <w:rsid w:val="07B63111"/>
    <w:rsid w:val="08C35008"/>
    <w:rsid w:val="0A8721A0"/>
    <w:rsid w:val="0B7B2128"/>
    <w:rsid w:val="0B985CD3"/>
    <w:rsid w:val="0E564FED"/>
    <w:rsid w:val="0E68572F"/>
    <w:rsid w:val="0E844FD8"/>
    <w:rsid w:val="0E9816ED"/>
    <w:rsid w:val="102F0E28"/>
    <w:rsid w:val="10396E71"/>
    <w:rsid w:val="11DE52CB"/>
    <w:rsid w:val="13100E81"/>
    <w:rsid w:val="150A3847"/>
    <w:rsid w:val="164D1EE7"/>
    <w:rsid w:val="18E10F33"/>
    <w:rsid w:val="1A0C35CC"/>
    <w:rsid w:val="1BC73AA5"/>
    <w:rsid w:val="1C3F00EA"/>
    <w:rsid w:val="2163678E"/>
    <w:rsid w:val="21D0732F"/>
    <w:rsid w:val="2371316C"/>
    <w:rsid w:val="23C4301C"/>
    <w:rsid w:val="23C7578D"/>
    <w:rsid w:val="24475A26"/>
    <w:rsid w:val="264204D7"/>
    <w:rsid w:val="2741574C"/>
    <w:rsid w:val="285A0FDC"/>
    <w:rsid w:val="2C765212"/>
    <w:rsid w:val="2D2D1D13"/>
    <w:rsid w:val="2DB07F1F"/>
    <w:rsid w:val="2DC931AE"/>
    <w:rsid w:val="2E1172D3"/>
    <w:rsid w:val="30B56AE1"/>
    <w:rsid w:val="32375E5F"/>
    <w:rsid w:val="327E6635"/>
    <w:rsid w:val="32F36A04"/>
    <w:rsid w:val="3516702D"/>
    <w:rsid w:val="356B5D48"/>
    <w:rsid w:val="37E601A9"/>
    <w:rsid w:val="382927E2"/>
    <w:rsid w:val="386E6406"/>
    <w:rsid w:val="39204F82"/>
    <w:rsid w:val="3A7A2C02"/>
    <w:rsid w:val="3A9F7B13"/>
    <w:rsid w:val="3C790024"/>
    <w:rsid w:val="3EE84C2D"/>
    <w:rsid w:val="3F171CEB"/>
    <w:rsid w:val="3F595A04"/>
    <w:rsid w:val="412C3FBC"/>
    <w:rsid w:val="42557BBC"/>
    <w:rsid w:val="43315BEC"/>
    <w:rsid w:val="433672AA"/>
    <w:rsid w:val="43AD1C7C"/>
    <w:rsid w:val="43CA2EA3"/>
    <w:rsid w:val="43E145E7"/>
    <w:rsid w:val="44912C24"/>
    <w:rsid w:val="47C03328"/>
    <w:rsid w:val="48601C27"/>
    <w:rsid w:val="4ADF76BB"/>
    <w:rsid w:val="4C122427"/>
    <w:rsid w:val="4D440E1C"/>
    <w:rsid w:val="4DC33073"/>
    <w:rsid w:val="4E3F7559"/>
    <w:rsid w:val="4ECE0172"/>
    <w:rsid w:val="51516E47"/>
    <w:rsid w:val="51A46EB2"/>
    <w:rsid w:val="52531DCC"/>
    <w:rsid w:val="52E5627D"/>
    <w:rsid w:val="56073B1A"/>
    <w:rsid w:val="5CF93C67"/>
    <w:rsid w:val="5E084751"/>
    <w:rsid w:val="6180235A"/>
    <w:rsid w:val="61A86601"/>
    <w:rsid w:val="62AC763E"/>
    <w:rsid w:val="64515E2E"/>
    <w:rsid w:val="64D61FAB"/>
    <w:rsid w:val="66C801A8"/>
    <w:rsid w:val="67281D31"/>
    <w:rsid w:val="69462C0F"/>
    <w:rsid w:val="6C0E3CC0"/>
    <w:rsid w:val="6C2445E8"/>
    <w:rsid w:val="6E49135B"/>
    <w:rsid w:val="6F71073E"/>
    <w:rsid w:val="730A3838"/>
    <w:rsid w:val="73ED1367"/>
    <w:rsid w:val="77E20C53"/>
    <w:rsid w:val="786A7F85"/>
    <w:rsid w:val="791505B4"/>
    <w:rsid w:val="7A24720F"/>
    <w:rsid w:val="7A7C6A82"/>
    <w:rsid w:val="7BFC47DB"/>
    <w:rsid w:val="7E05604E"/>
    <w:rsid w:val="7E691B98"/>
    <w:rsid w:val="7EA14B4B"/>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unhideWhenUsed/>
    <w:qFormat/>
    <w:uiPriority w:val="9"/>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6">
    <w:name w:val="Normal Indent"/>
    <w:basedOn w:val="1"/>
    <w:qFormat/>
    <w:uiPriority w:val="0"/>
    <w:pPr>
      <w:ind w:firstLine="420"/>
    </w:pPr>
    <w:rPr>
      <w:rFonts w:ascii="Verdana" w:hAnsi="Verdana"/>
      <w:szCs w:val="20"/>
    </w:rPr>
  </w:style>
  <w:style w:type="paragraph" w:styleId="7">
    <w:name w:val="annotation text"/>
    <w:basedOn w:val="1"/>
    <w:qFormat/>
    <w:uiPriority w:val="0"/>
    <w:pPr>
      <w:jc w:val="left"/>
    </w:pPr>
  </w:style>
  <w:style w:type="paragraph" w:styleId="8">
    <w:name w:val="Body Text"/>
    <w:basedOn w:val="1"/>
    <w:qFormat/>
    <w:uiPriority w:val="0"/>
    <w:pPr>
      <w:spacing w:after="120"/>
    </w:pPr>
  </w:style>
  <w:style w:type="paragraph" w:styleId="9">
    <w:name w:val="footer"/>
    <w:basedOn w:val="1"/>
    <w:link w:val="20"/>
    <w:qFormat/>
    <w:uiPriority w:val="0"/>
    <w:pPr>
      <w:tabs>
        <w:tab w:val="center" w:pos="4153"/>
        <w:tab w:val="right" w:pos="8306"/>
      </w:tabs>
      <w:snapToGrid w:val="0"/>
      <w:jc w:val="left"/>
    </w:pPr>
    <w:rPr>
      <w:sz w:val="18"/>
      <w:szCs w:val="18"/>
    </w:rPr>
  </w:style>
  <w:style w:type="paragraph" w:styleId="10">
    <w:name w:val="header"/>
    <w:basedOn w:val="1"/>
    <w:link w:val="19"/>
    <w:qFormat/>
    <w:uiPriority w:val="0"/>
    <w:pPr>
      <w:tabs>
        <w:tab w:val="center" w:pos="4153"/>
        <w:tab w:val="right" w:pos="8306"/>
      </w:tabs>
      <w:snapToGrid w:val="0"/>
      <w:jc w:val="center"/>
    </w:pPr>
    <w:rPr>
      <w:sz w:val="18"/>
      <w:szCs w:val="18"/>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5"/>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10"/>
    <w:qFormat/>
    <w:uiPriority w:val="0"/>
    <w:rPr>
      <w:rFonts w:asciiTheme="minorHAnsi" w:hAnsiTheme="minorHAnsi" w:eastAsiaTheme="minorEastAsia" w:cstheme="minorBidi"/>
      <w:kern w:val="2"/>
      <w:sz w:val="18"/>
      <w:szCs w:val="18"/>
    </w:rPr>
  </w:style>
  <w:style w:type="character" w:customStyle="1" w:styleId="20">
    <w:name w:val="页脚 字符"/>
    <w:basedOn w:val="13"/>
    <w:link w:val="9"/>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6458</Words>
  <Characters>6915</Characters>
  <Lines>59</Lines>
  <Paragraphs>16</Paragraphs>
  <TotalTime>8</TotalTime>
  <ScaleCrop>false</ScaleCrop>
  <LinksUpToDate>false</LinksUpToDate>
  <CharactersWithSpaces>7483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叫醒耳朵</cp:lastModifiedBy>
  <cp:lastPrinted>2025-08-15T02:40:00Z</cp:lastPrinted>
  <dcterms:modified xsi:type="dcterms:W3CDTF">2026-07-15T09:18:31Z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00F87E8DE53D483383D1AA3857B9BD33_13</vt:lpwstr>
  </property>
  <property fmtid="{D5CDD505-2E9C-101B-9397-08002B2CF9AE}" pid="4" name="KSOTemplateDocerSaveRecord">
    <vt:lpwstr>eyJoZGlkIjoiMTlkZDU4ZTU5ZWQ4Zjk0OTJiMzg5OTZkYzE3YjZiMTMiLCJ1c2VySWQiOiI5ODE2OTMzOTYifQ==</vt:lpwstr>
  </property>
</Properties>
</file>