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20910"/>
      <w:bookmarkStart w:id="1" w:name="_Toc11918"/>
      <w:bookmarkStart w:id="2" w:name="_Toc21762"/>
      <w:bookmarkStart w:id="3" w:name="_Toc32320"/>
      <w:bookmarkStart w:id="4" w:name="_Toc15737"/>
      <w:bookmarkStart w:id="5" w:name="_Toc24454"/>
      <w:bookmarkStart w:id="6" w:name="_Toc21422"/>
      <w:bookmarkStart w:id="7" w:name="_Toc7615"/>
      <w:bookmarkStart w:id="8" w:name="_Toc25712"/>
      <w:bookmarkStart w:id="9" w:name="_Toc24068"/>
      <w:bookmarkStart w:id="10" w:name="_Toc20033"/>
      <w:bookmarkStart w:id="11" w:name="_Toc13462"/>
      <w:bookmarkStart w:id="12" w:name="_Toc29002"/>
      <w:bookmarkStart w:id="13" w:name="_Toc8396"/>
      <w:bookmarkStart w:id="14" w:name="_Toc12789"/>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琼海市万泉镇加城村委会加一村地块10.43亩集体地流转</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14602</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08-04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琼海市万泉镇加城村委会加一村地块10.43亩集体地流转</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琼海市万泉镇加城村委会加一村地块10.43亩集体地流转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琼海市万泉镇加城村委会加一村地块10.43亩集体地流转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农村产权交易服务平台书面通知要求与出租（转让）方签署交易合同，并按《标的</w:t>
      </w:r>
      <w:r>
        <w:rPr>
          <w:rFonts w:hint="eastAsia" w:ascii="Times New Roman" w:hAnsi="Times New Roman"/>
          <w:sz w:val="28"/>
          <w:szCs w:val="28"/>
          <w:lang w:val="en-US" w:eastAsia="zh-CN"/>
        </w:rPr>
        <w:t>竞得书</w:t>
      </w:r>
      <w:r>
        <w:rPr>
          <w:rFonts w:hint="eastAsia" w:ascii="Times New Roman" w:hAnsi="Times New Roman"/>
          <w:sz w:val="28"/>
          <w:szCs w:val="28"/>
        </w:rPr>
        <w:t>》的约定支付交易价款。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海南省琼海市万泉镇加城村委会加一村地块10.43亩集体地流转交易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琼海市万泉镇加成村加一组股份经济合作社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琼海市万泉镇加城村委会加一村地块10.43亩集体地流转</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琼海市万泉镇加城村委会加一村地块10.43亩集体地流转</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琼海市万泉镇加成村加一组股份经济合作社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10.43亩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14602元/年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首期租金10万元于合同签订后15日内支付，投产经营第二年支付剩余租金</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bookmarkStart w:id="35" w:name="_GoBack"/>
      <w:bookmarkEnd w:id="35"/>
      <w:r>
        <w:rPr>
          <w:rFonts w:hint="eastAsia" w:asciiTheme="minorEastAsia" w:hAnsiTheme="minorEastAsia" w:cstheme="minorEastAsia"/>
          <w:sz w:val="28"/>
          <w:szCs w:val="28"/>
          <w:lang w:val="en-US" w:eastAsia="zh-CN"/>
        </w:rPr>
        <w:t>13876274077</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58BD7BC0">
      <w:pPr>
        <w:keepNext w:val="0"/>
        <w:keepLines w:val="0"/>
        <w:pageBreakBefore w:val="0"/>
        <w:widowControl w:val="0"/>
        <w:kinsoku/>
        <w:wordWrap/>
        <w:overflowPunct/>
        <w:topLinePunct w:val="0"/>
        <w:autoSpaceDE/>
        <w:autoSpaceDN/>
        <w:bidi w:val="0"/>
        <w:adjustRightInd/>
        <w:snapToGrid/>
        <w:spacing w:line="460" w:lineRule="exact"/>
        <w:ind w:firstLine="720" w:firstLineChars="200"/>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-421640</wp:posOffset>
            </wp:positionH>
            <wp:positionV relativeFrom="paragraph">
              <wp:posOffset>853440</wp:posOffset>
            </wp:positionV>
            <wp:extent cx="1584960" cy="1581150"/>
            <wp:effectExtent l="0" t="0" r="15240" b="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584960" cy="1581150"/>
                    </a:xfrm>
                    <a:prstGeom prst="rect">
                      <a:avLst/>
                    </a:prstGeom>
                  </pic:spPr>
                </pic:pic>
              </a:graphicData>
            </a:graphic>
          </wp:anchor>
        </w:drawing>
      </w: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琼海市万泉镇加城村委会加一村地块10.43亩集体地流转</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32101"/>
      <w:bookmarkStart w:id="28" w:name="_Toc12264"/>
      <w:bookmarkStart w:id="29" w:name="_Toc11237"/>
      <w:bookmarkStart w:id="30" w:name="_Toc13094"/>
      <w:bookmarkStart w:id="31" w:name="_Toc29841"/>
      <w:bookmarkStart w:id="32" w:name="_Toc14469"/>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E16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1FF5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E1FF5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570E12"/>
    <w:rsid w:val="356B5D48"/>
    <w:rsid w:val="37522229"/>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2D462CF"/>
    <w:rsid w:val="53924014"/>
    <w:rsid w:val="57407733"/>
    <w:rsid w:val="5B8830DE"/>
    <w:rsid w:val="5CF93C67"/>
    <w:rsid w:val="64515E2E"/>
    <w:rsid w:val="6457518D"/>
    <w:rsid w:val="64D61FAB"/>
    <w:rsid w:val="69D9433A"/>
    <w:rsid w:val="6A824BDC"/>
    <w:rsid w:val="6CE301ED"/>
    <w:rsid w:val="6EA864DE"/>
    <w:rsid w:val="724C57BD"/>
    <w:rsid w:val="73F52A4A"/>
    <w:rsid w:val="786A7F85"/>
    <w:rsid w:val="791505B4"/>
    <w:rsid w:val="7A7C6A82"/>
    <w:rsid w:val="7CAD3F06"/>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6548</Words>
  <Characters>6998</Characters>
  <Lines>59</Lines>
  <Paragraphs>16</Paragraphs>
  <TotalTime>6</TotalTime>
  <ScaleCrop>false</ScaleCrop>
  <LinksUpToDate>false</LinksUpToDate>
  <CharactersWithSpaces>7494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2026-07-24T07:08:57Z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