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FE23CD">
      <w:pPr>
        <w:rPr>
          <w:rFonts w:hint="eastAsia"/>
          <w:lang w:val="en-US" w:eastAsia="zh-CN"/>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6F5E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130" w:type="dxa"/>
            <w:vAlign w:val="center"/>
          </w:tcPr>
          <w:p w14:paraId="34181FBD">
            <w:pPr>
              <w:jc w:val="center"/>
              <w:rPr>
                <w:rFonts w:hint="default"/>
                <w:vertAlign w:val="baseline"/>
                <w:lang w:val="en-US" w:eastAsia="zh-CN"/>
              </w:rPr>
            </w:pPr>
            <w:r>
              <w:rPr>
                <w:rFonts w:hint="eastAsia"/>
                <w:vertAlign w:val="baseline"/>
                <w:lang w:val="en-US" w:eastAsia="zh-CN"/>
              </w:rPr>
              <w:t>收到申请书日期</w:t>
            </w:r>
          </w:p>
        </w:tc>
        <w:tc>
          <w:tcPr>
            <w:tcW w:w="2130" w:type="dxa"/>
            <w:vAlign w:val="center"/>
          </w:tcPr>
          <w:p w14:paraId="4A639B2B">
            <w:pPr>
              <w:jc w:val="center"/>
              <w:rPr>
                <w:rFonts w:hint="eastAsia"/>
                <w:vertAlign w:val="baseline"/>
                <w:lang w:val="en-US" w:eastAsia="zh-CN"/>
              </w:rPr>
            </w:pPr>
          </w:p>
        </w:tc>
        <w:tc>
          <w:tcPr>
            <w:tcW w:w="2131" w:type="dxa"/>
            <w:vAlign w:val="center"/>
          </w:tcPr>
          <w:p w14:paraId="78747B11">
            <w:pPr>
              <w:jc w:val="center"/>
              <w:rPr>
                <w:rFonts w:hint="default"/>
                <w:vertAlign w:val="baseline"/>
                <w:lang w:val="en-US" w:eastAsia="zh-CN"/>
              </w:rPr>
            </w:pPr>
            <w:r>
              <w:rPr>
                <w:rFonts w:hint="eastAsia"/>
                <w:vertAlign w:val="baseline"/>
                <w:lang w:val="en-US" w:eastAsia="zh-CN"/>
              </w:rPr>
              <w:t>项目编号</w:t>
            </w:r>
          </w:p>
        </w:tc>
        <w:tc>
          <w:tcPr>
            <w:tcW w:w="2131" w:type="dxa"/>
            <w:vAlign w:val="center"/>
          </w:tcPr>
          <w:p w14:paraId="6026257B">
            <w:pPr>
              <w:jc w:val="center"/>
              <w:rPr>
                <w:rFonts w:hint="eastAsia"/>
                <w:vertAlign w:val="baseline"/>
                <w:lang w:val="en-US" w:eastAsia="zh-CN"/>
              </w:rPr>
            </w:pPr>
          </w:p>
        </w:tc>
      </w:tr>
    </w:tbl>
    <w:p w14:paraId="00CBDE6A">
      <w:pPr>
        <w:rPr>
          <w:rFonts w:hint="eastAsia"/>
          <w:lang w:val="en-US" w:eastAsia="zh-CN"/>
        </w:rPr>
      </w:pPr>
    </w:p>
    <w:p w14:paraId="2275644F">
      <w:pPr>
        <w:rPr>
          <w:rFonts w:hint="eastAsia"/>
          <w:lang w:val="en-US" w:eastAsia="zh-CN"/>
        </w:rPr>
      </w:pPr>
    </w:p>
    <w:p w14:paraId="7B6B7E8E">
      <w:pPr>
        <w:rPr>
          <w:rFonts w:hint="eastAsia"/>
          <w:lang w:val="en-US" w:eastAsia="zh-CN"/>
        </w:rPr>
      </w:pPr>
    </w:p>
    <w:p w14:paraId="067B114A">
      <w:pPr>
        <w:rPr>
          <w:rFonts w:hint="eastAsia"/>
          <w:lang w:val="en-US" w:eastAsia="zh-CN"/>
        </w:rPr>
      </w:pPr>
    </w:p>
    <w:p w14:paraId="79196937">
      <w:pPr>
        <w:rPr>
          <w:rFonts w:hint="eastAsia"/>
          <w:lang w:val="en-US" w:eastAsia="zh-CN"/>
        </w:rPr>
      </w:pPr>
    </w:p>
    <w:p w14:paraId="656B5D73">
      <w:pPr>
        <w:jc w:val="center"/>
        <w:rPr>
          <w:rFonts w:hint="eastAsia" w:ascii="微软雅黑" w:hAnsi="微软雅黑" w:eastAsia="微软雅黑" w:cs="微软雅黑"/>
          <w:b/>
          <w:bCs/>
          <w:sz w:val="52"/>
          <w:szCs w:val="72"/>
          <w:lang w:val="en-US" w:eastAsia="zh-CN"/>
        </w:rPr>
      </w:pPr>
      <w:r>
        <w:rPr>
          <w:rFonts w:hint="eastAsia" w:ascii="微软雅黑" w:hAnsi="微软雅黑" w:eastAsia="微软雅黑" w:cs="微软雅黑"/>
          <w:b/>
          <w:bCs/>
          <w:sz w:val="52"/>
          <w:szCs w:val="72"/>
          <w:lang w:val="en-US" w:eastAsia="zh-CN"/>
        </w:rPr>
        <w:t>资产出租申请书</w:t>
      </w:r>
    </w:p>
    <w:p w14:paraId="0A414397">
      <w:pPr>
        <w:jc w:val="center"/>
        <w:rPr>
          <w:rFonts w:hint="eastAsia" w:ascii="微软雅黑" w:hAnsi="微软雅黑" w:eastAsia="微软雅黑" w:cs="微软雅黑"/>
          <w:b/>
          <w:bCs/>
          <w:sz w:val="44"/>
          <w:szCs w:val="52"/>
          <w:lang w:val="en-US" w:eastAsia="zh-CN"/>
        </w:rPr>
      </w:pPr>
    </w:p>
    <w:p w14:paraId="3057FFAF">
      <w:pPr>
        <w:jc w:val="left"/>
        <w:rPr>
          <w:rFonts w:hint="eastAsia" w:ascii="宋体" w:hAnsi="宋体" w:eastAsia="宋体" w:cs="宋体"/>
          <w:b w:val="0"/>
          <w:bCs w:val="0"/>
          <w:sz w:val="28"/>
          <w:szCs w:val="36"/>
          <w:lang w:val="en-US" w:eastAsia="zh-CN"/>
        </w:rPr>
      </w:pPr>
    </w:p>
    <w:p w14:paraId="01D8CBF2">
      <w:pPr>
        <w:rPr>
          <w:rFonts w:hint="eastAsia" w:ascii="宋体" w:hAnsi="宋体" w:eastAsia="宋体" w:cs="宋体"/>
          <w:b w:val="0"/>
          <w:bCs w:val="0"/>
          <w:sz w:val="32"/>
          <w:szCs w:val="40"/>
          <w:lang w:val="en-US" w:eastAsia="zh-CN"/>
        </w:rPr>
      </w:pPr>
    </w:p>
    <w:p w14:paraId="2441CC74">
      <w:pPr>
        <w:pStyle w:val="5"/>
        <w:rPr>
          <w:rFonts w:hint="eastAsia" w:ascii="宋体" w:hAnsi="宋体" w:eastAsia="宋体" w:cs="宋体"/>
          <w:b w:val="0"/>
          <w:bCs w:val="0"/>
          <w:sz w:val="32"/>
          <w:szCs w:val="40"/>
          <w:lang w:val="en-US" w:eastAsia="zh-CN"/>
        </w:rPr>
      </w:pPr>
    </w:p>
    <w:p w14:paraId="7011DF97">
      <w:pPr>
        <w:rPr>
          <w:rFonts w:hint="eastAsia"/>
          <w:lang w:val="en-US" w:eastAsia="zh-CN"/>
        </w:rPr>
      </w:pPr>
    </w:p>
    <w:p w14:paraId="4399F34F">
      <w:pPr>
        <w:jc w:val="left"/>
        <w:outlineLvl w:val="0"/>
        <w:rPr>
          <w:rFonts w:hint="default" w:ascii="宋体" w:hAnsi="宋体" w:eastAsia="宋体" w:cs="宋体"/>
          <w:b w:val="0"/>
          <w:bCs w:val="0"/>
          <w:color w:val="auto"/>
          <w:sz w:val="36"/>
          <w:szCs w:val="44"/>
          <w:u w:val="none"/>
          <w:lang w:val="en-US" w:eastAsia="zh-CN"/>
        </w:rPr>
      </w:pPr>
      <w:r>
        <w:rPr>
          <w:rFonts w:hint="eastAsia" w:ascii="宋体" w:hAnsi="宋体" w:eastAsia="宋体" w:cs="宋体"/>
          <w:b w:val="0"/>
          <w:bCs w:val="0"/>
          <w:color w:val="auto"/>
          <w:sz w:val="36"/>
          <w:szCs w:val="44"/>
          <w:lang w:val="en-US" w:eastAsia="zh-CN"/>
        </w:rPr>
        <w:t>标的名称：屯昌县屯城镇吉安小区B3-3106商铺163.35㎡出租</w:t>
      </w:r>
    </w:p>
    <w:p w14:paraId="5837ABD0">
      <w:pPr>
        <w:pStyle w:val="5"/>
        <w:ind w:left="0" w:leftChars="0" w:firstLine="0" w:firstLineChars="0"/>
        <w:rPr>
          <w:rFonts w:hint="eastAsia" w:ascii="宋体" w:hAnsi="宋体" w:eastAsia="宋体" w:cs="宋体"/>
          <w:b w:val="0"/>
          <w:bCs w:val="0"/>
          <w:color w:val="auto"/>
          <w:sz w:val="36"/>
          <w:szCs w:val="44"/>
          <w:lang w:val="en-US" w:eastAsia="zh-CN"/>
        </w:rPr>
      </w:pPr>
    </w:p>
    <w:p w14:paraId="44E140B8">
      <w:pPr>
        <w:rPr>
          <w:rFonts w:hint="eastAsia" w:ascii="宋体" w:hAnsi="宋体" w:eastAsia="宋体" w:cs="宋体"/>
          <w:b w:val="0"/>
          <w:bCs w:val="0"/>
          <w:color w:val="auto"/>
          <w:sz w:val="36"/>
          <w:szCs w:val="44"/>
          <w:lang w:val="en-US" w:eastAsia="zh-CN"/>
        </w:rPr>
      </w:pPr>
    </w:p>
    <w:p w14:paraId="72D0AAE7">
      <w:pPr>
        <w:rPr>
          <w:rFonts w:hint="eastAsia"/>
          <w:color w:val="auto"/>
          <w:lang w:val="en-US" w:eastAsia="zh-CN"/>
        </w:rPr>
      </w:pPr>
    </w:p>
    <w:p w14:paraId="7E253685">
      <w:pPr>
        <w:pStyle w:val="2"/>
        <w:rPr>
          <w:rFonts w:hint="eastAsia"/>
          <w:color w:val="auto"/>
          <w:lang w:val="en-US" w:eastAsia="zh-CN"/>
        </w:rPr>
      </w:pPr>
    </w:p>
    <w:p w14:paraId="735CFB7F">
      <w:pPr>
        <w:jc w:val="left"/>
        <w:outlineLvl w:val="0"/>
        <w:rPr>
          <w:rFonts w:hint="eastAsia" w:ascii="宋体" w:hAnsi="宋体" w:eastAsia="宋体" w:cs="宋体"/>
          <w:b w:val="0"/>
          <w:bCs w:val="0"/>
          <w:color w:val="auto"/>
          <w:sz w:val="28"/>
          <w:szCs w:val="36"/>
          <w:lang w:val="en-US" w:eastAsia="zh-CN"/>
        </w:rPr>
      </w:pPr>
      <w:r>
        <w:rPr>
          <w:rFonts w:hint="eastAsia" w:ascii="宋体" w:hAnsi="宋体" w:eastAsia="宋体" w:cs="宋体"/>
          <w:b w:val="0"/>
          <w:bCs w:val="0"/>
          <w:color w:val="auto"/>
          <w:sz w:val="36"/>
          <w:szCs w:val="44"/>
          <w:lang w:val="en-US" w:eastAsia="zh-CN"/>
        </w:rPr>
        <w:t>申请单位名称：</w:t>
      </w:r>
      <w:r>
        <w:rPr>
          <w:rFonts w:hint="eastAsia" w:ascii="宋体" w:hAnsi="宋体" w:eastAsia="宋体" w:cs="宋体"/>
          <w:b w:val="0"/>
          <w:bCs w:val="0"/>
          <w:color w:val="auto"/>
          <w:sz w:val="36"/>
          <w:szCs w:val="44"/>
          <w:u w:val="none"/>
          <w:lang w:val="en-US" w:eastAsia="zh-CN"/>
        </w:rPr>
        <w:t xml:space="preserve"> </w:t>
      </w:r>
      <w:r>
        <w:rPr>
          <w:rFonts w:hint="eastAsia" w:ascii="宋体" w:hAnsi="宋体" w:eastAsia="宋体" w:cs="宋体"/>
          <w:b w:val="0"/>
          <w:bCs w:val="0"/>
          <w:color w:val="auto"/>
          <w:sz w:val="36"/>
          <w:szCs w:val="44"/>
          <w:lang w:val="en-US" w:eastAsia="zh-CN"/>
        </w:rPr>
        <w:t>屯昌县国有资产事务中心</w:t>
      </w:r>
    </w:p>
    <w:p w14:paraId="219D5E22">
      <w:pPr>
        <w:pStyle w:val="2"/>
        <w:rPr>
          <w:rFonts w:hint="eastAsia"/>
          <w:lang w:val="en-US" w:eastAsia="zh-CN"/>
        </w:rPr>
      </w:pPr>
    </w:p>
    <w:p w14:paraId="4F787F82">
      <w:pPr>
        <w:pStyle w:val="2"/>
        <w:rPr>
          <w:rFonts w:hint="eastAsia"/>
          <w:lang w:val="en-US" w:eastAsia="zh-CN"/>
        </w:rPr>
      </w:pPr>
    </w:p>
    <w:p w14:paraId="08905BB0">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黑体" w:hAnsi="宋体" w:eastAsia="黑体"/>
          <w:color w:val="auto"/>
          <w:sz w:val="36"/>
          <w:szCs w:val="36"/>
          <w:highlight w:val="none"/>
          <w:shd w:val="clear" w:color="auto" w:fill="auto"/>
        </w:rPr>
      </w:pPr>
      <w:r>
        <w:rPr>
          <w:rFonts w:hint="eastAsia" w:ascii="宋体" w:hAnsi="宋体" w:eastAsia="宋体" w:cs="宋体"/>
          <w:b w:val="0"/>
          <w:bCs w:val="0"/>
          <w:color w:val="auto"/>
          <w:sz w:val="28"/>
          <w:szCs w:val="36"/>
          <w:highlight w:val="none"/>
          <w:shd w:val="clear" w:color="auto" w:fill="auto"/>
          <w:lang w:val="en-US" w:eastAsia="zh-CN"/>
        </w:rPr>
        <w:t>屯昌县农村产权交易中心有限公司制</w:t>
      </w:r>
    </w:p>
    <w:p w14:paraId="443D73E2">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jc w:val="center"/>
        <w:textAlignment w:val="auto"/>
        <w:outlineLvl w:val="0"/>
        <w:rPr>
          <w:rFonts w:ascii="黑体" w:hAnsi="宋体" w:eastAsia="黑体"/>
          <w:sz w:val="36"/>
          <w:szCs w:val="36"/>
          <w:highlight w:val="none"/>
        </w:rPr>
      </w:pPr>
      <w:r>
        <w:rPr>
          <w:rFonts w:hint="eastAsia" w:ascii="黑体" w:hAnsi="宋体" w:eastAsia="黑体"/>
          <w:sz w:val="36"/>
          <w:szCs w:val="36"/>
          <w:highlight w:val="none"/>
        </w:rPr>
        <w:t>承诺书</w:t>
      </w:r>
    </w:p>
    <w:p w14:paraId="70CF0510">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u w:val="none"/>
          <w:lang w:val="en-US" w:eastAsia="zh-CN"/>
        </w:rPr>
        <w:t>屯昌县农村产权交易中心有限公司</w:t>
      </w:r>
      <w:r>
        <w:rPr>
          <w:rFonts w:hint="eastAsia" w:ascii="宋体" w:hAnsi="宋体" w:eastAsia="宋体" w:cs="宋体"/>
          <w:sz w:val="24"/>
          <w:szCs w:val="24"/>
          <w:highlight w:val="none"/>
        </w:rPr>
        <w:t>：</w:t>
      </w:r>
    </w:p>
    <w:p w14:paraId="24F0DC23">
      <w:pPr>
        <w:keepNext w:val="0"/>
        <w:keepLines w:val="0"/>
        <w:pageBreakBefore w:val="0"/>
        <w:widowControl w:val="0"/>
        <w:kinsoku/>
        <w:wordWrap w:val="0"/>
        <w:overflowPunct/>
        <w:topLinePunct w:val="0"/>
        <w:autoSpaceDE/>
        <w:autoSpaceDN/>
        <w:bidi w:val="0"/>
        <w:adjustRightInd/>
        <w:snapToGrid/>
        <w:spacing w:line="312"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本出租方现</w:t>
      </w:r>
      <w:r>
        <w:rPr>
          <w:rFonts w:hint="eastAsia" w:ascii="Times New Roman" w:hAnsi="Times New Roman"/>
          <w:b w:val="0"/>
          <w:bCs w:val="0"/>
          <w:sz w:val="24"/>
          <w:szCs w:val="24"/>
        </w:rPr>
        <w:t>向</w:t>
      </w:r>
      <w:r>
        <w:rPr>
          <w:rFonts w:hint="eastAsia" w:ascii="Times New Roman" w:hAnsi="Times New Roman"/>
          <w:b w:val="0"/>
          <w:bCs w:val="0"/>
          <w:sz w:val="24"/>
          <w:szCs w:val="24"/>
          <w:highlight w:val="none"/>
          <w:u w:val="single"/>
        </w:rPr>
        <w:t xml:space="preserve"> </w:t>
      </w:r>
      <w:r>
        <w:rPr>
          <w:rFonts w:hint="eastAsia" w:ascii="Times New Roman" w:hAnsi="Times New Roman"/>
          <w:b w:val="0"/>
          <w:bCs w:val="0"/>
          <w:sz w:val="24"/>
          <w:szCs w:val="24"/>
          <w:highlight w:val="none"/>
          <w:u w:val="single"/>
          <w:lang w:val="en-US" w:eastAsia="zh-CN"/>
        </w:rPr>
        <w:t>屯昌农村产权交易中心</w:t>
      </w:r>
      <w:r>
        <w:rPr>
          <w:rFonts w:hint="eastAsia"/>
          <w:b w:val="0"/>
          <w:bCs w:val="0"/>
          <w:sz w:val="24"/>
          <w:szCs w:val="24"/>
          <w:highlight w:val="none"/>
          <w:u w:val="single"/>
          <w:lang w:eastAsia="zh-CN"/>
        </w:rPr>
        <w:t>（</w:t>
      </w:r>
      <w:r>
        <w:rPr>
          <w:rFonts w:hint="eastAsia"/>
          <w:sz w:val="24"/>
          <w:szCs w:val="24"/>
          <w:highlight w:val="none"/>
        </w:rPr>
        <w:t>https://tunchang.nongjiao.com/</w:t>
      </w:r>
      <w:r>
        <w:rPr>
          <w:rFonts w:hint="eastAsia"/>
          <w:b w:val="0"/>
          <w:bCs w:val="0"/>
          <w:sz w:val="24"/>
          <w:szCs w:val="24"/>
          <w:highlight w:val="none"/>
          <w:u w:val="single"/>
          <w:lang w:eastAsia="zh-CN"/>
        </w:rPr>
        <w:t>）</w:t>
      </w:r>
      <w:r>
        <w:rPr>
          <w:rFonts w:hint="eastAsia"/>
          <w:b w:val="0"/>
          <w:bCs w:val="0"/>
          <w:sz w:val="24"/>
          <w:szCs w:val="24"/>
          <w:highlight w:val="none"/>
          <w:u w:val="none"/>
          <w:lang w:val="en-US" w:eastAsia="zh-CN"/>
        </w:rPr>
        <w:t>提出委托出租申请</w:t>
      </w:r>
      <w:r>
        <w:rPr>
          <w:rFonts w:hint="eastAsia" w:ascii="宋体" w:hAnsi="宋体" w:eastAsia="宋体" w:cs="宋体"/>
          <w:sz w:val="24"/>
          <w:szCs w:val="24"/>
          <w:highlight w:val="none"/>
          <w:lang w:val="en-US" w:eastAsia="zh-CN"/>
        </w:rPr>
        <w:t>，请将本出租方持有的</w:t>
      </w:r>
      <w:r>
        <w:rPr>
          <w:rFonts w:hint="eastAsia" w:ascii="宋体" w:hAnsi="宋体" w:eastAsia="宋体" w:cs="宋体"/>
          <w:sz w:val="24"/>
          <w:szCs w:val="24"/>
          <w:u w:val="single"/>
          <w:lang w:val="en-US" w:eastAsia="zh-CN"/>
        </w:rPr>
        <w:t xml:space="preserve"> 屯昌县屯城镇吉安小区B3-3106商铺163.35㎡出租</w:t>
      </w:r>
      <w:r>
        <w:rPr>
          <w:rFonts w:hint="eastAsia" w:ascii="Times New Roman" w:hAnsi="Times New Roman"/>
          <w:b w:val="0"/>
          <w:bCs w:val="0"/>
          <w:sz w:val="24"/>
          <w:szCs w:val="24"/>
        </w:rPr>
        <w:t>通过</w:t>
      </w:r>
      <w:r>
        <w:rPr>
          <w:rFonts w:hint="eastAsia" w:ascii="Times New Roman" w:hAnsi="Times New Roman"/>
          <w:b w:val="0"/>
          <w:bCs w:val="0"/>
          <w:sz w:val="24"/>
          <w:szCs w:val="24"/>
          <w:lang w:eastAsia="zh-CN"/>
        </w:rPr>
        <w:t>贵中心</w:t>
      </w:r>
      <w:r>
        <w:rPr>
          <w:rFonts w:hint="eastAsia" w:ascii="Times New Roman" w:hAnsi="Times New Roman"/>
          <w:b w:val="0"/>
          <w:bCs w:val="0"/>
          <w:sz w:val="24"/>
          <w:szCs w:val="24"/>
        </w:rPr>
        <w:t>挂牌</w:t>
      </w:r>
      <w:r>
        <w:rPr>
          <w:rFonts w:hint="eastAsia" w:ascii="Times New Roman" w:hAnsi="Times New Roman"/>
          <w:b w:val="0"/>
          <w:bCs w:val="0"/>
          <w:sz w:val="24"/>
          <w:szCs w:val="24"/>
          <w:lang w:val="en-US" w:eastAsia="zh-CN"/>
        </w:rPr>
        <w:t>出租</w:t>
      </w:r>
      <w:r>
        <w:rPr>
          <w:rFonts w:hint="eastAsia" w:ascii="宋体" w:hAnsi="宋体" w:eastAsia="宋体" w:cs="宋体"/>
          <w:sz w:val="24"/>
          <w:szCs w:val="24"/>
          <w:lang w:val="en-US" w:eastAsia="zh-CN"/>
        </w:rPr>
        <w:t>交易，</w:t>
      </w:r>
      <w:r>
        <w:rPr>
          <w:rFonts w:hint="eastAsia" w:ascii="Times New Roman" w:hAnsi="Times New Roman"/>
          <w:b w:val="0"/>
          <w:bCs w:val="0"/>
          <w:sz w:val="24"/>
          <w:szCs w:val="24"/>
        </w:rPr>
        <w:t>并请</w:t>
      </w:r>
      <w:r>
        <w:rPr>
          <w:rFonts w:hint="eastAsia" w:ascii="Times New Roman" w:hAnsi="Times New Roman"/>
          <w:b w:val="0"/>
          <w:bCs w:val="0"/>
          <w:sz w:val="24"/>
          <w:szCs w:val="24"/>
          <w:lang w:eastAsia="zh-CN"/>
        </w:rPr>
        <w:t>贵中心</w:t>
      </w:r>
      <w:r>
        <w:rPr>
          <w:rFonts w:hint="eastAsia" w:ascii="Times New Roman" w:hAnsi="Times New Roman"/>
          <w:b w:val="0"/>
          <w:bCs w:val="0"/>
          <w:sz w:val="24"/>
          <w:szCs w:val="24"/>
        </w:rPr>
        <w:t>在相关网站及媒体公开发布</w:t>
      </w:r>
      <w:r>
        <w:rPr>
          <w:rFonts w:hint="eastAsia" w:ascii="Times New Roman" w:hAnsi="Times New Roman"/>
          <w:b w:val="0"/>
          <w:bCs w:val="0"/>
          <w:sz w:val="24"/>
          <w:szCs w:val="24"/>
          <w:lang w:val="en-US" w:eastAsia="zh-CN"/>
        </w:rPr>
        <w:t>流转</w:t>
      </w:r>
      <w:r>
        <w:rPr>
          <w:rFonts w:hint="eastAsia" w:ascii="Times New Roman" w:hAnsi="Times New Roman"/>
          <w:b w:val="0"/>
          <w:bCs w:val="0"/>
          <w:sz w:val="24"/>
          <w:szCs w:val="24"/>
        </w:rPr>
        <w:t>公告信息。对此申请要求，本</w:t>
      </w:r>
      <w:r>
        <w:rPr>
          <w:rFonts w:hint="eastAsia" w:ascii="Times New Roman" w:hAnsi="Times New Roman"/>
          <w:b w:val="0"/>
          <w:bCs w:val="0"/>
          <w:sz w:val="24"/>
          <w:szCs w:val="24"/>
          <w:lang w:eastAsia="zh-CN"/>
        </w:rPr>
        <w:t>出租方</w:t>
      </w:r>
      <w:r>
        <w:rPr>
          <w:rFonts w:hint="eastAsia" w:ascii="Times New Roman" w:hAnsi="Times New Roman"/>
          <w:b w:val="0"/>
          <w:bCs w:val="0"/>
          <w:sz w:val="24"/>
          <w:szCs w:val="24"/>
        </w:rPr>
        <w:t>依照公开、公平、公正、诚信的原则，特</w:t>
      </w:r>
      <w:r>
        <w:rPr>
          <w:rFonts w:hint="eastAsia" w:ascii="Times New Roman" w:hAnsi="Times New Roman"/>
          <w:b w:val="0"/>
          <w:bCs w:val="0"/>
          <w:sz w:val="24"/>
          <w:szCs w:val="24"/>
          <w:lang w:eastAsia="zh-CN"/>
        </w:rPr>
        <w:t>作</w:t>
      </w:r>
      <w:r>
        <w:rPr>
          <w:rFonts w:hint="eastAsia" w:ascii="Times New Roman" w:hAnsi="Times New Roman"/>
          <w:b w:val="0"/>
          <w:bCs w:val="0"/>
          <w:sz w:val="24"/>
          <w:szCs w:val="24"/>
        </w:rPr>
        <w:t>如下承诺：</w:t>
      </w:r>
    </w:p>
    <w:p w14:paraId="60FBFE66">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42" w:firstLineChars="200"/>
        <w:textAlignment w:val="auto"/>
        <w:rPr>
          <w:rFonts w:hint="eastAsia" w:ascii="宋体" w:hAnsi="宋体" w:eastAsia="宋体" w:cs="宋体"/>
          <w:b/>
          <w:bCs/>
          <w:sz w:val="22"/>
          <w:szCs w:val="22"/>
          <w:u w:val="single"/>
        </w:rPr>
      </w:pPr>
      <w:r>
        <w:rPr>
          <w:rFonts w:hint="eastAsia" w:ascii="宋体" w:hAnsi="宋体" w:eastAsia="宋体" w:cs="宋体"/>
          <w:b/>
          <w:bCs/>
          <w:sz w:val="22"/>
          <w:szCs w:val="22"/>
          <w:lang w:val="en-US" w:eastAsia="zh-CN"/>
        </w:rPr>
        <w:t>1、本次出租是我方真实意思表示，出租标的权属清晰，我方对该</w:t>
      </w:r>
      <w:r>
        <w:rPr>
          <w:rFonts w:hint="default" w:ascii="宋体" w:hAnsi="宋体" w:eastAsia="宋体" w:cs="宋体"/>
          <w:b/>
          <w:bCs/>
          <w:sz w:val="22"/>
          <w:szCs w:val="22"/>
          <w:lang w:eastAsia="zh-CN"/>
        </w:rPr>
        <w:t>标的</w:t>
      </w:r>
      <w:r>
        <w:rPr>
          <w:rFonts w:hint="eastAsia" w:ascii="宋体" w:hAnsi="宋体" w:eastAsia="宋体" w:cs="宋体"/>
          <w:b/>
          <w:bCs/>
          <w:sz w:val="22"/>
          <w:szCs w:val="22"/>
          <w:lang w:val="en-US" w:eastAsia="zh-CN"/>
        </w:rPr>
        <w:t>拥有完全的出租权且不存在法律法规禁止或限制交易的情形；</w:t>
      </w:r>
    </w:p>
    <w:p w14:paraId="41A8494E">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42" w:firstLineChars="200"/>
        <w:textAlignment w:val="auto"/>
        <w:rPr>
          <w:rFonts w:hint="eastAsia" w:ascii="宋体" w:hAnsi="宋体" w:eastAsia="宋体" w:cs="宋体"/>
          <w:b/>
          <w:bCs/>
          <w:sz w:val="22"/>
          <w:szCs w:val="22"/>
          <w:u w:val="single"/>
        </w:rPr>
      </w:pPr>
      <w:r>
        <w:rPr>
          <w:rFonts w:hint="eastAsia" w:ascii="宋体" w:hAnsi="宋体" w:eastAsia="宋体" w:cs="宋体"/>
          <w:b/>
          <w:bCs/>
          <w:sz w:val="22"/>
          <w:szCs w:val="22"/>
          <w:lang w:val="en-US" w:eastAsia="zh-CN"/>
        </w:rPr>
        <w:t>2、本次出租</w:t>
      </w:r>
      <w:r>
        <w:rPr>
          <w:rFonts w:hint="eastAsia" w:ascii="宋体" w:hAnsi="宋体" w:cs="宋体"/>
          <w:b/>
          <w:bCs/>
          <w:sz w:val="22"/>
          <w:szCs w:val="22"/>
          <w:lang w:val="en-US" w:eastAsia="zh-CN"/>
        </w:rPr>
        <w:t>我方</w:t>
      </w:r>
      <w:r>
        <w:rPr>
          <w:rFonts w:hint="eastAsia" w:ascii="宋体" w:hAnsi="宋体" w:eastAsia="宋体" w:cs="宋体"/>
          <w:b/>
          <w:bCs/>
          <w:sz w:val="22"/>
          <w:szCs w:val="22"/>
          <w:lang w:val="en-US" w:eastAsia="zh-CN"/>
        </w:rPr>
        <w:t>已履行了相应程序，经过有效的内部决策，获得相应批准</w:t>
      </w:r>
      <w:r>
        <w:rPr>
          <w:rFonts w:hint="eastAsia" w:ascii="宋体" w:hAnsi="宋体" w:cs="宋体"/>
          <w:b/>
          <w:bCs/>
          <w:sz w:val="22"/>
          <w:szCs w:val="22"/>
          <w:lang w:val="en-US" w:eastAsia="zh-CN"/>
        </w:rPr>
        <w:t>和通过相应合规性审查，并由我方承担交易底价制定的责任。</w:t>
      </w:r>
    </w:p>
    <w:p w14:paraId="1BA85CF7">
      <w:pPr>
        <w:keepNext w:val="0"/>
        <w:keepLines w:val="0"/>
        <w:pageBreakBefore w:val="0"/>
        <w:widowControl w:val="0"/>
        <w:kinsoku/>
        <w:wordWrap/>
        <w:overflowPunct/>
        <w:topLinePunct w:val="0"/>
        <w:autoSpaceDE/>
        <w:autoSpaceDN/>
        <w:bidi w:val="0"/>
        <w:adjustRightInd/>
        <w:snapToGrid/>
        <w:spacing w:line="312" w:lineRule="auto"/>
        <w:ind w:firstLine="442" w:firstLineChars="200"/>
        <w:textAlignment w:val="auto"/>
        <w:rPr>
          <w:rFonts w:hint="eastAsia" w:ascii="宋体" w:hAnsi="宋体" w:eastAsia="宋体" w:cs="宋体"/>
          <w:b/>
          <w:bCs/>
          <w:sz w:val="22"/>
          <w:szCs w:val="22"/>
          <w:u w:val="none"/>
        </w:rPr>
      </w:pPr>
      <w:r>
        <w:rPr>
          <w:rFonts w:hint="eastAsia" w:ascii="宋体" w:hAnsi="宋体" w:eastAsia="宋体" w:cs="宋体"/>
          <w:b/>
          <w:bCs/>
          <w:sz w:val="22"/>
          <w:szCs w:val="22"/>
          <w:u w:val="none"/>
          <w:lang w:val="en-US" w:eastAsia="zh-CN"/>
        </w:rPr>
        <w:t>3、</w:t>
      </w:r>
      <w:r>
        <w:rPr>
          <w:rFonts w:hint="eastAsia" w:ascii="宋体" w:hAnsi="宋体" w:eastAsia="宋体" w:cs="宋体"/>
          <w:b/>
          <w:bCs/>
          <w:sz w:val="22"/>
          <w:szCs w:val="22"/>
          <w:u w:val="none"/>
        </w:rPr>
        <w:t>我方所提交的</w:t>
      </w:r>
      <w:r>
        <w:rPr>
          <w:rFonts w:hint="eastAsia"/>
          <w:b/>
          <w:bCs/>
          <w:sz w:val="22"/>
          <w:szCs w:val="22"/>
          <w:lang w:val="en-US" w:eastAsia="zh-CN"/>
        </w:rPr>
        <w:t>出租</w:t>
      </w:r>
      <w:r>
        <w:rPr>
          <w:rFonts w:hint="eastAsia" w:ascii="宋体" w:hAnsi="宋体" w:eastAsia="宋体" w:cs="宋体"/>
          <w:b/>
          <w:bCs/>
          <w:sz w:val="22"/>
          <w:szCs w:val="22"/>
          <w:u w:val="none"/>
        </w:rPr>
        <w:t>申请及相关材料真实、完整、准确、合法、有效，不存在虚假记载、误导性陈述或重大遗漏；我方同意</w:t>
      </w:r>
      <w:r>
        <w:rPr>
          <w:rFonts w:hint="eastAsia" w:ascii="宋体" w:hAnsi="宋体" w:eastAsia="宋体" w:cs="宋体"/>
          <w:b/>
          <w:bCs/>
          <w:sz w:val="22"/>
          <w:szCs w:val="22"/>
          <w:u w:val="none"/>
          <w:lang w:val="en-US" w:eastAsia="zh-CN"/>
        </w:rPr>
        <w:t>贵司</w:t>
      </w:r>
      <w:r>
        <w:rPr>
          <w:rFonts w:hint="eastAsia" w:ascii="宋体" w:hAnsi="宋体" w:eastAsia="宋体" w:cs="宋体"/>
          <w:b/>
          <w:bCs/>
          <w:sz w:val="22"/>
          <w:szCs w:val="22"/>
          <w:u w:val="none"/>
        </w:rPr>
        <w:t>按上述材料内容</w:t>
      </w:r>
      <w:r>
        <w:rPr>
          <w:rFonts w:hint="eastAsia" w:ascii="宋体" w:hAnsi="宋体" w:eastAsia="宋体" w:cs="宋体"/>
          <w:b/>
          <w:bCs/>
          <w:sz w:val="22"/>
          <w:szCs w:val="22"/>
          <w:u w:val="none"/>
          <w:lang w:val="en-US" w:eastAsia="zh-CN"/>
        </w:rPr>
        <w:t>在中心或其他互联网网站</w:t>
      </w:r>
      <w:r>
        <w:rPr>
          <w:rFonts w:hint="eastAsia" w:ascii="宋体" w:hAnsi="宋体" w:eastAsia="宋体" w:cs="宋体"/>
          <w:b/>
          <w:bCs/>
          <w:sz w:val="22"/>
          <w:szCs w:val="22"/>
          <w:u w:val="none"/>
        </w:rPr>
        <w:t>发布披露信息，并对披露内容和上述材料的真实性、完整性、准确性、合法性、有效性承担法律责任；</w:t>
      </w:r>
    </w:p>
    <w:p w14:paraId="617D5FBB">
      <w:pPr>
        <w:keepNext w:val="0"/>
        <w:keepLines w:val="0"/>
        <w:pageBreakBefore w:val="0"/>
        <w:widowControl w:val="0"/>
        <w:kinsoku/>
        <w:wordWrap/>
        <w:overflowPunct/>
        <w:topLinePunct w:val="0"/>
        <w:autoSpaceDE/>
        <w:autoSpaceDN/>
        <w:bidi w:val="0"/>
        <w:adjustRightInd/>
        <w:snapToGrid/>
        <w:spacing w:line="312" w:lineRule="auto"/>
        <w:ind w:firstLine="442" w:firstLineChars="200"/>
        <w:textAlignment w:val="auto"/>
        <w:rPr>
          <w:rFonts w:hint="eastAsia" w:ascii="宋体" w:hAnsi="宋体" w:eastAsia="宋体" w:cs="宋体"/>
          <w:b/>
          <w:bCs/>
          <w:sz w:val="22"/>
          <w:szCs w:val="22"/>
          <w:u w:val="none"/>
        </w:rPr>
      </w:pPr>
      <w:r>
        <w:rPr>
          <w:rFonts w:hint="eastAsia" w:ascii="宋体" w:hAnsi="宋体" w:eastAsia="宋体" w:cs="宋体"/>
          <w:b/>
          <w:bCs/>
          <w:sz w:val="22"/>
          <w:szCs w:val="22"/>
          <w:u w:val="none"/>
          <w:lang w:val="en-US" w:eastAsia="zh-CN"/>
        </w:rPr>
        <w:t>4、</w:t>
      </w:r>
      <w:r>
        <w:rPr>
          <w:rFonts w:hint="eastAsia" w:ascii="宋体" w:hAnsi="宋体" w:eastAsia="宋体" w:cs="宋体"/>
          <w:b/>
          <w:bCs/>
          <w:sz w:val="22"/>
          <w:szCs w:val="22"/>
          <w:u w:val="none"/>
        </w:rPr>
        <w:t>我方在交易过程中，遵守国家法律法规和产权交易相关规定规则，按照有关交易程序要求履行我方义务；</w:t>
      </w:r>
    </w:p>
    <w:p w14:paraId="74875998">
      <w:pPr>
        <w:keepNext w:val="0"/>
        <w:keepLines w:val="0"/>
        <w:pageBreakBefore w:val="0"/>
        <w:widowControl w:val="0"/>
        <w:kinsoku/>
        <w:wordWrap/>
        <w:overflowPunct/>
        <w:topLinePunct w:val="0"/>
        <w:autoSpaceDE/>
        <w:autoSpaceDN/>
        <w:bidi w:val="0"/>
        <w:adjustRightInd/>
        <w:snapToGrid/>
        <w:spacing w:line="312" w:lineRule="auto"/>
        <w:ind w:firstLine="442" w:firstLineChars="200"/>
        <w:textAlignment w:val="auto"/>
        <w:rPr>
          <w:rFonts w:ascii="Times New Roman" w:hAnsi="Times New Roman"/>
          <w:b/>
          <w:bCs/>
          <w:color w:val="auto"/>
          <w:sz w:val="22"/>
          <w:szCs w:val="22"/>
        </w:rPr>
      </w:pPr>
      <w:r>
        <w:rPr>
          <w:rFonts w:hint="eastAsia" w:ascii="宋体" w:hAnsi="宋体" w:eastAsia="宋体" w:cs="宋体"/>
          <w:b/>
          <w:bCs/>
          <w:sz w:val="22"/>
          <w:szCs w:val="22"/>
          <w:highlight w:val="none"/>
          <w:u w:val="none"/>
          <w:lang w:val="en-US" w:eastAsia="zh-CN"/>
        </w:rPr>
        <w:t>5、</w:t>
      </w:r>
      <w:r>
        <w:rPr>
          <w:rFonts w:hint="eastAsia" w:ascii="宋体" w:hAnsi="宋体" w:eastAsia="宋体" w:cs="宋体"/>
          <w:b/>
          <w:bCs/>
          <w:sz w:val="22"/>
          <w:szCs w:val="22"/>
          <w:highlight w:val="none"/>
          <w:u w:val="none"/>
        </w:rPr>
        <w:t>我方已知悉</w:t>
      </w:r>
      <w:r>
        <w:rPr>
          <w:rFonts w:hint="eastAsia" w:ascii="宋体" w:hAnsi="宋体" w:eastAsia="宋体" w:cs="宋体"/>
          <w:b/>
          <w:bCs/>
          <w:sz w:val="22"/>
          <w:szCs w:val="22"/>
          <w:highlight w:val="none"/>
          <w:u w:val="none"/>
          <w:lang w:eastAsia="zh-CN"/>
        </w:rPr>
        <w:t>贵中心</w:t>
      </w:r>
      <w:r>
        <w:rPr>
          <w:rFonts w:hint="eastAsia" w:ascii="宋体" w:hAnsi="宋体" w:eastAsia="宋体" w:cs="宋体"/>
          <w:b/>
          <w:bCs/>
          <w:sz w:val="22"/>
          <w:szCs w:val="22"/>
          <w:highlight w:val="none"/>
          <w:u w:val="none"/>
        </w:rPr>
        <w:t>的交易规则，并充分理解和认可，同意按照</w:t>
      </w:r>
      <w:r>
        <w:rPr>
          <w:rFonts w:hint="eastAsia" w:ascii="宋体" w:hAnsi="宋体" w:eastAsia="宋体" w:cs="宋体"/>
          <w:b/>
          <w:bCs/>
          <w:sz w:val="22"/>
          <w:szCs w:val="22"/>
          <w:highlight w:val="none"/>
          <w:u w:val="none"/>
          <w:lang w:eastAsia="zh-CN"/>
        </w:rPr>
        <w:t>贵中心</w:t>
      </w:r>
      <w:r>
        <w:rPr>
          <w:rFonts w:hint="eastAsia" w:ascii="宋体" w:hAnsi="宋体" w:eastAsia="宋体" w:cs="宋体"/>
          <w:b/>
          <w:bCs/>
          <w:sz w:val="22"/>
          <w:szCs w:val="22"/>
          <w:highlight w:val="none"/>
          <w:u w:val="none"/>
        </w:rPr>
        <w:t>《</w:t>
      </w:r>
      <w:r>
        <w:rPr>
          <w:rFonts w:hint="eastAsia" w:ascii="宋体" w:hAnsi="宋体" w:eastAsia="宋体" w:cs="宋体"/>
          <w:b/>
          <w:bCs/>
          <w:sz w:val="22"/>
          <w:szCs w:val="22"/>
          <w:highlight w:val="none"/>
          <w:u w:val="none"/>
          <w:lang w:val="en-US" w:eastAsia="zh-CN"/>
        </w:rPr>
        <w:t>屯昌农村产权交易中心</w:t>
      </w:r>
      <w:r>
        <w:rPr>
          <w:rFonts w:hint="eastAsia" w:ascii="宋体" w:hAnsi="宋体" w:eastAsia="宋体" w:cs="宋体"/>
          <w:b/>
          <w:bCs/>
          <w:sz w:val="22"/>
          <w:szCs w:val="22"/>
          <w:highlight w:val="none"/>
          <w:u w:val="none"/>
        </w:rPr>
        <w:t>农村产权交易规则</w:t>
      </w:r>
      <w:r>
        <w:rPr>
          <w:rFonts w:hint="eastAsia" w:ascii="宋体" w:hAnsi="宋体" w:eastAsia="宋体" w:cs="宋体"/>
          <w:b/>
          <w:bCs/>
          <w:sz w:val="22"/>
          <w:szCs w:val="22"/>
          <w:highlight w:val="none"/>
          <w:u w:val="none"/>
          <w:lang w:eastAsia="zh-CN"/>
        </w:rPr>
        <w:t>（</w:t>
      </w:r>
      <w:r>
        <w:rPr>
          <w:rFonts w:hint="eastAsia" w:ascii="宋体" w:hAnsi="宋体" w:eastAsia="宋体" w:cs="宋体"/>
          <w:b/>
          <w:bCs/>
          <w:sz w:val="22"/>
          <w:szCs w:val="22"/>
          <w:highlight w:val="none"/>
          <w:u w:val="none"/>
        </w:rPr>
        <w:t>试行</w:t>
      </w:r>
      <w:r>
        <w:rPr>
          <w:rFonts w:hint="eastAsia" w:ascii="宋体" w:hAnsi="宋体" w:eastAsia="宋体" w:cs="宋体"/>
          <w:b/>
          <w:bCs/>
          <w:sz w:val="22"/>
          <w:szCs w:val="22"/>
          <w:highlight w:val="none"/>
          <w:u w:val="none"/>
          <w:lang w:eastAsia="zh-CN"/>
        </w:rPr>
        <w:t>）</w:t>
      </w:r>
      <w:r>
        <w:rPr>
          <w:rFonts w:hint="eastAsia" w:ascii="宋体" w:hAnsi="宋体" w:eastAsia="宋体" w:cs="宋体"/>
          <w:b/>
          <w:bCs/>
          <w:sz w:val="22"/>
          <w:szCs w:val="22"/>
          <w:highlight w:val="none"/>
          <w:u w:val="none"/>
        </w:rPr>
        <w:t>》等相关规定实施农村产权流转活动；如实、完整地披露标的状况，并在标的项</w:t>
      </w:r>
      <w:r>
        <w:rPr>
          <w:rFonts w:hint="eastAsia" w:ascii="宋体" w:hAnsi="宋体" w:eastAsia="宋体" w:cs="宋体"/>
          <w:b/>
          <w:bCs/>
          <w:sz w:val="22"/>
          <w:szCs w:val="22"/>
          <w:highlight w:val="none"/>
          <w:u w:val="none"/>
          <w:lang w:val="en-US" w:eastAsia="zh-CN"/>
        </w:rPr>
        <w:t>目出租</w:t>
      </w:r>
      <w:r>
        <w:rPr>
          <w:rFonts w:hint="eastAsia" w:ascii="宋体" w:hAnsi="宋体" w:eastAsia="宋体" w:cs="宋体"/>
          <w:b/>
          <w:bCs/>
          <w:sz w:val="22"/>
          <w:szCs w:val="22"/>
          <w:highlight w:val="none"/>
          <w:u w:val="none"/>
        </w:rPr>
        <w:t>后积极协助</w:t>
      </w:r>
      <w:r>
        <w:rPr>
          <w:rFonts w:hint="eastAsia" w:ascii="宋体" w:hAnsi="宋体" w:eastAsia="宋体" w:cs="宋体"/>
          <w:b/>
          <w:bCs/>
          <w:sz w:val="22"/>
          <w:szCs w:val="22"/>
          <w:highlight w:val="none"/>
          <w:u w:val="none"/>
          <w:lang w:val="en-US" w:eastAsia="zh-CN"/>
        </w:rPr>
        <w:t>竞得方</w:t>
      </w:r>
      <w:r>
        <w:rPr>
          <w:rFonts w:hint="eastAsia" w:ascii="宋体" w:hAnsi="宋体" w:eastAsia="宋体" w:cs="宋体"/>
          <w:b/>
          <w:bCs/>
          <w:sz w:val="22"/>
          <w:szCs w:val="22"/>
          <w:highlight w:val="none"/>
          <w:u w:val="none"/>
        </w:rPr>
        <w:t>办理标的交割手续，若发生交割纠纷，由我方负责解决；如因我方信息披露瑕疵等原因，致使标的发生无法交割情形，由我方承担全部法律责任；</w:t>
      </w:r>
    </w:p>
    <w:p w14:paraId="31C1D8C7">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42" w:firstLineChars="200"/>
        <w:textAlignment w:val="auto"/>
        <w:rPr>
          <w:rFonts w:hint="eastAsia" w:ascii="宋体" w:hAnsi="宋体" w:eastAsia="宋体" w:cs="宋体"/>
          <w:b/>
          <w:bCs/>
          <w:sz w:val="22"/>
          <w:szCs w:val="22"/>
          <w:highlight w:val="none"/>
          <w:u w:val="none"/>
          <w:lang w:eastAsia="zh-CN"/>
        </w:rPr>
      </w:pPr>
      <w:r>
        <w:rPr>
          <w:rFonts w:hint="eastAsia" w:ascii="宋体" w:hAnsi="宋体" w:eastAsia="宋体" w:cs="宋体"/>
          <w:b/>
          <w:bCs/>
          <w:sz w:val="22"/>
          <w:szCs w:val="22"/>
          <w:u w:val="none"/>
          <w:lang w:val="en-US" w:eastAsia="zh-CN"/>
        </w:rPr>
        <w:t>6、我方</w:t>
      </w:r>
      <w:r>
        <w:rPr>
          <w:rFonts w:hint="eastAsia" w:ascii="宋体" w:hAnsi="宋体" w:eastAsia="宋体" w:cs="宋体"/>
          <w:b/>
          <w:bCs/>
          <w:sz w:val="22"/>
          <w:szCs w:val="22"/>
          <w:highlight w:val="none"/>
          <w:u w:val="none"/>
        </w:rPr>
        <w:t>已知悉并认可</w:t>
      </w:r>
      <w:r>
        <w:rPr>
          <w:rFonts w:hint="eastAsia" w:ascii="宋体" w:hAnsi="宋体" w:eastAsia="宋体" w:cs="宋体"/>
          <w:b/>
          <w:bCs/>
          <w:sz w:val="22"/>
          <w:szCs w:val="22"/>
          <w:highlight w:val="none"/>
          <w:u w:val="none"/>
          <w:lang w:eastAsia="zh-CN"/>
        </w:rPr>
        <w:t>贵中心</w:t>
      </w:r>
      <w:r>
        <w:rPr>
          <w:rFonts w:hint="eastAsia" w:ascii="宋体" w:hAnsi="宋体" w:eastAsia="宋体" w:cs="宋体"/>
          <w:b/>
          <w:bCs/>
          <w:sz w:val="22"/>
          <w:szCs w:val="22"/>
          <w:highlight w:val="none"/>
          <w:u w:val="none"/>
        </w:rPr>
        <w:t>的收费项目及标准，同意按规定缴纳相关费用</w:t>
      </w:r>
      <w:r>
        <w:rPr>
          <w:rFonts w:hint="eastAsia" w:ascii="宋体" w:hAnsi="宋体" w:eastAsia="宋体" w:cs="宋体"/>
          <w:b/>
          <w:bCs/>
          <w:sz w:val="22"/>
          <w:szCs w:val="22"/>
          <w:highlight w:val="none"/>
          <w:u w:val="none"/>
          <w:lang w:eastAsia="zh-CN"/>
        </w:rPr>
        <w:t>；</w:t>
      </w:r>
    </w:p>
    <w:p w14:paraId="1A712188">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42" w:firstLineChars="200"/>
        <w:textAlignment w:val="auto"/>
        <w:rPr>
          <w:rFonts w:hint="eastAsia" w:ascii="宋体" w:hAnsi="宋体" w:eastAsia="宋体" w:cs="宋体"/>
          <w:b/>
          <w:bCs/>
          <w:sz w:val="22"/>
          <w:szCs w:val="22"/>
          <w:u w:val="none"/>
        </w:rPr>
      </w:pPr>
      <w:r>
        <w:rPr>
          <w:rFonts w:hint="eastAsia" w:ascii="宋体" w:hAnsi="宋体" w:eastAsia="宋体" w:cs="宋体"/>
          <w:b/>
          <w:bCs/>
          <w:sz w:val="22"/>
          <w:szCs w:val="22"/>
          <w:u w:val="none"/>
          <w:lang w:val="en-US" w:eastAsia="zh-CN"/>
        </w:rPr>
        <w:t>7、</w:t>
      </w:r>
      <w:r>
        <w:rPr>
          <w:rFonts w:hint="eastAsia" w:ascii="宋体" w:hAnsi="宋体" w:eastAsia="宋体" w:cs="宋体"/>
          <w:b/>
          <w:bCs/>
          <w:sz w:val="22"/>
          <w:szCs w:val="22"/>
          <w:u w:val="none"/>
        </w:rPr>
        <w:t>我方在采用网络竞价/挂牌方式实施交易时，因不可抗力、软硬件故障、非法入侵、恶意攻击等原因而导致系统异常、竞（报）价活动中断的，</w:t>
      </w:r>
      <w:r>
        <w:rPr>
          <w:rFonts w:hint="eastAsia" w:ascii="宋体" w:hAnsi="宋体" w:eastAsia="宋体" w:cs="宋体"/>
          <w:b/>
          <w:bCs/>
          <w:sz w:val="22"/>
          <w:szCs w:val="22"/>
          <w:u w:val="none"/>
          <w:lang w:eastAsia="zh-CN"/>
        </w:rPr>
        <w:t>同意中心</w:t>
      </w:r>
      <w:r>
        <w:rPr>
          <w:rFonts w:hint="eastAsia" w:ascii="宋体" w:hAnsi="宋体" w:eastAsia="宋体" w:cs="宋体"/>
          <w:b/>
          <w:bCs/>
          <w:sz w:val="22"/>
          <w:szCs w:val="22"/>
          <w:u w:val="none"/>
        </w:rPr>
        <w:t>视情况组织继续报价或重新报价。</w:t>
      </w:r>
    </w:p>
    <w:p w14:paraId="66EA963F">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42" w:firstLineChars="200"/>
        <w:textAlignment w:val="auto"/>
        <w:rPr>
          <w:rFonts w:hint="eastAsia" w:ascii="宋体" w:hAnsi="宋体" w:eastAsia="宋体" w:cs="宋体"/>
          <w:b/>
          <w:bCs/>
          <w:sz w:val="24"/>
          <w:szCs w:val="24"/>
          <w:u w:val="none"/>
        </w:rPr>
      </w:pPr>
      <w:r>
        <w:rPr>
          <w:rFonts w:hint="eastAsia" w:ascii="宋体" w:hAnsi="宋体" w:eastAsia="宋体" w:cs="宋体"/>
          <w:b/>
          <w:bCs/>
          <w:sz w:val="22"/>
          <w:szCs w:val="22"/>
          <w:u w:val="none"/>
        </w:rPr>
        <w:t>8、我方保证遵守以上承诺，如违反上述承诺或有违规违法行为，给交易相关方造成一切损失，我方愿意承担相应的法律责任及经济赔偿责任</w:t>
      </w:r>
      <w:r>
        <w:rPr>
          <w:rFonts w:hint="eastAsia" w:ascii="宋体" w:hAnsi="宋体" w:eastAsia="宋体" w:cs="宋体"/>
          <w:b/>
          <w:bCs/>
          <w:sz w:val="24"/>
          <w:szCs w:val="24"/>
          <w:u w:val="none"/>
        </w:rPr>
        <w:t>。</w:t>
      </w:r>
    </w:p>
    <w:p w14:paraId="3984D81F">
      <w:pPr>
        <w:spacing w:line="600" w:lineRule="auto"/>
        <w:ind w:firstLine="2400" w:firstLineChars="1000"/>
        <w:outlineLvl w:val="0"/>
        <w:rPr>
          <w:rFonts w:hint="eastAsia" w:ascii="宋体" w:hAnsi="宋体" w:eastAsia="宋体" w:cs="宋体"/>
          <w:sz w:val="24"/>
          <w:szCs w:val="24"/>
        </w:rPr>
      </w:pPr>
      <w:r>
        <w:rPr>
          <w:rFonts w:hint="eastAsia" w:ascii="宋体" w:hAnsi="宋体" w:eastAsia="宋体" w:cs="宋体"/>
          <w:sz w:val="24"/>
          <w:szCs w:val="24"/>
          <w:lang w:val="en-US" w:eastAsia="zh-CN"/>
        </w:rPr>
        <w:t>申 请 单 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盖章</w:t>
      </w:r>
      <w:r>
        <w:rPr>
          <w:rFonts w:hint="eastAsia" w:ascii="宋体" w:hAnsi="宋体" w:eastAsia="宋体" w:cs="宋体"/>
          <w:sz w:val="24"/>
          <w:szCs w:val="24"/>
          <w:lang w:eastAsia="zh-CN"/>
        </w:rPr>
        <w:t>）</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2431BDC4">
      <w:pPr>
        <w:spacing w:line="600" w:lineRule="auto"/>
        <w:ind w:firstLine="2400" w:firstLineChars="1000"/>
        <w:outlineLvl w:val="0"/>
        <w:rPr>
          <w:rFonts w:hint="eastAsia" w:ascii="宋体" w:hAnsi="宋体" w:eastAsia="宋体" w:cs="宋体"/>
          <w:sz w:val="24"/>
          <w:szCs w:val="24"/>
          <w:u w:val="single"/>
        </w:rPr>
      </w:pPr>
      <w:r>
        <w:rPr>
          <w:rFonts w:hint="eastAsia" w:ascii="宋体" w:hAnsi="宋体" w:eastAsia="宋体" w:cs="宋体"/>
          <w:sz w:val="24"/>
          <w:szCs w:val="24"/>
        </w:rPr>
        <w:t>法定代表人</w:t>
      </w:r>
      <w:r>
        <w:rPr>
          <w:rFonts w:hint="eastAsia" w:ascii="宋体" w:hAnsi="宋体" w:eastAsia="宋体" w:cs="宋体"/>
          <w:sz w:val="24"/>
          <w:szCs w:val="24"/>
          <w:lang w:eastAsia="zh-CN"/>
        </w:rPr>
        <w:t>（</w:t>
      </w:r>
      <w:r>
        <w:rPr>
          <w:rFonts w:hint="eastAsia" w:ascii="宋体" w:hAnsi="宋体" w:eastAsia="宋体" w:cs="宋体"/>
          <w:sz w:val="24"/>
          <w:szCs w:val="24"/>
        </w:rPr>
        <w:t>签</w:t>
      </w:r>
      <w:r>
        <w:rPr>
          <w:rFonts w:hint="eastAsia" w:ascii="宋体" w:hAnsi="宋体" w:eastAsia="宋体" w:cs="宋体"/>
          <w:sz w:val="24"/>
          <w:szCs w:val="24"/>
          <w:lang w:val="en-US" w:eastAsia="zh-CN"/>
        </w:rPr>
        <w:t>字</w:t>
      </w:r>
      <w:r>
        <w:rPr>
          <w:rFonts w:hint="eastAsia" w:ascii="宋体" w:hAnsi="宋体" w:eastAsia="宋体" w:cs="宋体"/>
          <w:sz w:val="24"/>
          <w:szCs w:val="24"/>
          <w:lang w:eastAsia="zh-CN"/>
        </w:rPr>
        <w:t>）</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color w:val="0000FF"/>
          <w:sz w:val="24"/>
          <w:szCs w:val="24"/>
          <w:u w:val="single"/>
          <w:lang w:val="en-US" w:eastAsia="zh-CN"/>
        </w:rPr>
        <w:t xml:space="preserve"> </w:t>
      </w:r>
      <w:r>
        <w:rPr>
          <w:rFonts w:hint="eastAsia" w:ascii="宋体" w:hAnsi="宋体" w:eastAsia="宋体" w:cs="宋体"/>
          <w:sz w:val="24"/>
          <w:szCs w:val="24"/>
          <w:u w:val="single"/>
        </w:rPr>
        <w:t xml:space="preserve">                                 </w:t>
      </w:r>
    </w:p>
    <w:p w14:paraId="331E90E2">
      <w:pPr>
        <w:spacing w:line="600" w:lineRule="auto"/>
        <w:ind w:firstLine="2400" w:firstLineChars="1000"/>
        <w:jc w:val="both"/>
        <w:outlineLvl w:val="0"/>
        <w:rPr>
          <w:rFonts w:hint="eastAsia" w:ascii="宋体" w:hAnsi="宋体" w:eastAsia="宋体" w:cs="宋体"/>
          <w:b/>
          <w:bCs/>
          <w:sz w:val="28"/>
          <w:szCs w:val="28"/>
          <w:lang w:val="en-US" w:eastAsia="zh-CN"/>
        </w:rPr>
      </w:pPr>
      <w:r>
        <w:rPr>
          <w:rFonts w:hint="eastAsia" w:ascii="宋体" w:hAnsi="宋体" w:eastAsia="宋体" w:cs="宋体"/>
          <w:sz w:val="24"/>
          <w:szCs w:val="24"/>
        </w:rPr>
        <w:t>申</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请</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sz w:val="24"/>
          <w:szCs w:val="24"/>
        </w:rPr>
        <w:t>日</w:t>
      </w:r>
    </w:p>
    <w:p w14:paraId="4E1E6B8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申请方简况</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3"/>
        <w:gridCol w:w="1739"/>
        <w:gridCol w:w="2417"/>
        <w:gridCol w:w="2283"/>
      </w:tblGrid>
      <w:tr w14:paraId="0DC9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222" w:type="pct"/>
            <w:tcBorders>
              <w:top w:val="single" w:color="auto" w:sz="4" w:space="0"/>
              <w:left w:val="single" w:color="auto" w:sz="4" w:space="0"/>
              <w:bottom w:val="single" w:color="auto" w:sz="4" w:space="0"/>
              <w:right w:val="single" w:color="auto" w:sz="4" w:space="0"/>
            </w:tcBorders>
            <w:vAlign w:val="center"/>
          </w:tcPr>
          <w:p w14:paraId="29C89686">
            <w:pPr>
              <w:jc w:val="cente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pPr>
            <w: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t>单位名称</w:t>
            </w:r>
          </w:p>
        </w:tc>
        <w:tc>
          <w:tcPr>
            <w:tcW w:w="3777" w:type="pct"/>
            <w:gridSpan w:val="3"/>
            <w:tcBorders>
              <w:top w:val="single" w:color="auto" w:sz="4" w:space="0"/>
              <w:left w:val="single" w:color="auto" w:sz="4" w:space="0"/>
              <w:bottom w:val="single" w:color="auto" w:sz="4" w:space="0"/>
              <w:right w:val="single" w:color="auto" w:sz="4" w:space="0"/>
            </w:tcBorders>
            <w:vAlign w:val="center"/>
          </w:tcPr>
          <w:p w14:paraId="0E72C6C0">
            <w:pPr>
              <w:spacing w:line="360" w:lineRule="auto"/>
              <w:jc w:val="left"/>
              <w:rPr>
                <w:rFonts w:hint="eastAsia" w:ascii="宋体" w:hAnsi="宋体" w:eastAsia="宋体" w:cs="宋体"/>
                <w:bCs/>
                <w:sz w:val="21"/>
                <w:szCs w:val="21"/>
                <w:lang w:eastAsia="zh-CN"/>
              </w:rPr>
            </w:pPr>
            <w:r>
              <w:rPr>
                <w:rFonts w:hint="eastAsia" w:ascii="宋体" w:hAnsi="宋体" w:eastAsia="宋体" w:cs="宋体"/>
                <w:bCs/>
                <w:sz w:val="22"/>
                <w:szCs w:val="22"/>
                <w:lang w:val="en-US" w:eastAsia="zh-CN"/>
              </w:rPr>
              <w:t xml:space="preserve"> </w:t>
            </w:r>
            <w:r>
              <w:rPr>
                <w:rFonts w:hint="eastAsia" w:asciiTheme="minorEastAsia" w:hAnsiTheme="minorEastAsia" w:cstheme="minorEastAsia"/>
                <w:bCs/>
                <w:color w:val="auto"/>
                <w:sz w:val="24"/>
                <w:szCs w:val="24"/>
                <w:lang w:val="en-US" w:eastAsia="zh-CN"/>
              </w:rPr>
              <w:t>屯昌县国有资产事务中心</w:t>
            </w:r>
          </w:p>
        </w:tc>
      </w:tr>
      <w:tr w14:paraId="3986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222" w:type="pct"/>
            <w:tcBorders>
              <w:top w:val="single" w:color="auto" w:sz="4" w:space="0"/>
              <w:left w:val="single" w:color="auto" w:sz="4" w:space="0"/>
              <w:bottom w:val="single" w:color="auto" w:sz="4" w:space="0"/>
              <w:right w:val="single" w:color="auto" w:sz="4" w:space="0"/>
            </w:tcBorders>
            <w:vAlign w:val="center"/>
          </w:tcPr>
          <w:p w14:paraId="1F28F3C4">
            <w:pPr>
              <w:jc w:val="cente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pPr>
            <w: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t>单位地址</w:t>
            </w:r>
          </w:p>
        </w:tc>
        <w:tc>
          <w:tcPr>
            <w:tcW w:w="3777" w:type="pct"/>
            <w:gridSpan w:val="3"/>
            <w:tcBorders>
              <w:top w:val="single" w:color="auto" w:sz="4" w:space="0"/>
              <w:left w:val="single" w:color="auto" w:sz="4" w:space="0"/>
              <w:bottom w:val="single" w:color="auto" w:sz="4" w:space="0"/>
              <w:right w:val="single" w:color="auto" w:sz="4" w:space="0"/>
            </w:tcBorders>
            <w:vAlign w:val="center"/>
          </w:tcPr>
          <w:p w14:paraId="76647EEA">
            <w:pPr>
              <w:spacing w:line="360" w:lineRule="auto"/>
              <w:jc w:val="left"/>
              <w:rPr>
                <w:rFonts w:hint="eastAsia" w:ascii="宋体" w:hAnsi="宋体" w:eastAsia="宋体" w:cs="宋体"/>
                <w:bCs/>
                <w:sz w:val="21"/>
                <w:szCs w:val="21"/>
                <w:lang w:eastAsia="zh-CN"/>
              </w:rPr>
            </w:pPr>
            <w:r>
              <w:rPr>
                <w:rFonts w:hint="eastAsia" w:ascii="宋体" w:hAnsi="宋体" w:eastAsia="宋体" w:cs="宋体"/>
                <w:bCs/>
                <w:sz w:val="22"/>
                <w:szCs w:val="22"/>
                <w:lang w:val="en-US" w:eastAsia="zh-CN"/>
              </w:rPr>
              <w:t xml:space="preserve"> </w:t>
            </w:r>
            <w:r>
              <w:rPr>
                <w:rFonts w:hint="eastAsia" w:asciiTheme="minorEastAsia" w:hAnsiTheme="minorEastAsia" w:cstheme="minorEastAsia"/>
                <w:bCs/>
                <w:color w:val="auto"/>
                <w:sz w:val="24"/>
                <w:szCs w:val="24"/>
                <w:lang w:val="en-US" w:eastAsia="zh-CN"/>
              </w:rPr>
              <w:t>屯昌县屯城镇昌盛路财政大厦四楼</w:t>
            </w:r>
          </w:p>
        </w:tc>
      </w:tr>
      <w:tr w14:paraId="2960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222" w:type="pct"/>
            <w:tcBorders>
              <w:top w:val="single" w:color="auto" w:sz="4" w:space="0"/>
              <w:left w:val="single" w:color="auto" w:sz="4" w:space="0"/>
              <w:right w:val="single" w:color="auto" w:sz="4" w:space="0"/>
            </w:tcBorders>
            <w:vAlign w:val="center"/>
          </w:tcPr>
          <w:p w14:paraId="78A326DA">
            <w:pPr>
              <w:jc w:val="cente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pPr>
            <w: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t>统一社会信用代码/组织机构代码</w:t>
            </w:r>
          </w:p>
        </w:tc>
        <w:tc>
          <w:tcPr>
            <w:tcW w:w="3777" w:type="pct"/>
            <w:gridSpan w:val="3"/>
            <w:tcBorders>
              <w:top w:val="single" w:color="auto" w:sz="4" w:space="0"/>
              <w:left w:val="single" w:color="auto" w:sz="4" w:space="0"/>
              <w:bottom w:val="single" w:color="auto" w:sz="4" w:space="0"/>
              <w:right w:val="single" w:color="auto" w:sz="4" w:space="0"/>
            </w:tcBorders>
            <w:vAlign w:val="center"/>
          </w:tcPr>
          <w:p w14:paraId="6E5DAB18">
            <w:pPr>
              <w:autoSpaceDE w:val="0"/>
              <w:autoSpaceDN w:val="0"/>
              <w:adjustRightInd w:val="0"/>
              <w:spacing w:line="500" w:lineRule="exact"/>
              <w:rPr>
                <w:rFonts w:hint="eastAsia" w:ascii="宋体" w:hAnsi="宋体" w:eastAsia="宋体" w:cs="宋体"/>
                <w:bCs/>
                <w:sz w:val="21"/>
                <w:szCs w:val="21"/>
                <w:lang w:eastAsia="zh-CN"/>
              </w:rPr>
            </w:pPr>
            <w:r>
              <w:rPr>
                <w:rFonts w:hint="eastAsia" w:ascii="宋体" w:hAnsi="宋体" w:eastAsia="宋体" w:cs="宋体"/>
                <w:b w:val="0"/>
                <w:bCs w:val="0"/>
                <w:color w:val="auto"/>
                <w:sz w:val="28"/>
                <w:szCs w:val="28"/>
                <w:lang w:val="en-US" w:eastAsia="zh-CN"/>
              </w:rPr>
              <w:t xml:space="preserve"> </w:t>
            </w:r>
            <w:r>
              <w:rPr>
                <w:rFonts w:hint="eastAsia" w:asciiTheme="minorEastAsia" w:hAnsiTheme="minorEastAsia" w:cstheme="minorEastAsia"/>
                <w:bCs/>
                <w:color w:val="auto"/>
                <w:sz w:val="24"/>
                <w:szCs w:val="24"/>
                <w:lang w:val="en-US" w:eastAsia="zh-CN"/>
              </w:rPr>
              <w:t>12468836698946358N</w:t>
            </w:r>
          </w:p>
        </w:tc>
      </w:tr>
      <w:tr w14:paraId="6704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222" w:type="pct"/>
            <w:tcBorders>
              <w:top w:val="single" w:color="auto" w:sz="4" w:space="0"/>
              <w:left w:val="single" w:color="auto" w:sz="4" w:space="0"/>
              <w:right w:val="single" w:color="auto" w:sz="4" w:space="0"/>
            </w:tcBorders>
            <w:vAlign w:val="center"/>
          </w:tcPr>
          <w:p w14:paraId="6880C66C">
            <w:pPr>
              <w:jc w:val="cente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pPr>
            <w: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t>企业类型</w:t>
            </w:r>
          </w:p>
        </w:tc>
        <w:tc>
          <w:tcPr>
            <w:tcW w:w="3777" w:type="pct"/>
            <w:gridSpan w:val="3"/>
            <w:tcBorders>
              <w:top w:val="single" w:color="auto" w:sz="4" w:space="0"/>
              <w:left w:val="single" w:color="auto" w:sz="4" w:space="0"/>
              <w:bottom w:val="single" w:color="auto" w:sz="4" w:space="0"/>
              <w:right w:val="single" w:color="auto" w:sz="4" w:space="0"/>
            </w:tcBorders>
            <w:vAlign w:val="center"/>
          </w:tcPr>
          <w:p w14:paraId="368DA560">
            <w:pPr>
              <w:spacing w:line="360" w:lineRule="auto"/>
              <w:ind w:firstLine="110" w:firstLineChars="50"/>
              <w:jc w:val="left"/>
              <w:rPr>
                <w:rFonts w:hint="eastAsia" w:ascii="宋体" w:hAnsi="宋体" w:eastAsia="宋体" w:cs="宋体"/>
                <w:bCs/>
                <w:sz w:val="21"/>
                <w:szCs w:val="21"/>
              </w:rPr>
            </w:pPr>
            <w:r>
              <w:rPr>
                <w:rFonts w:hint="eastAsia" w:ascii="宋体" w:hAnsi="宋体" w:eastAsia="宋体" w:cs="宋体"/>
                <w:sz w:val="22"/>
                <w:szCs w:val="22"/>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村集体 </w:t>
            </w:r>
            <w:r>
              <w:rPr>
                <w:rFonts w:hint="eastAsia" w:ascii="宋体" w:hAnsi="宋体" w:eastAsia="宋体" w:cs="宋体"/>
                <w:sz w:val="22"/>
                <w:szCs w:val="22"/>
                <w:lang w:val="en-US" w:eastAsia="zh-CN"/>
              </w:rPr>
              <w:t xml:space="preserve">        </w:t>
            </w:r>
            <w:r>
              <w:rPr>
                <w:rFonts w:hint="eastAsia" w:ascii="宋体" w:hAnsi="宋体" w:eastAsia="宋体" w:cs="宋体"/>
                <w:sz w:val="21"/>
                <w:szCs w:val="21"/>
              </w:rPr>
              <w:t xml:space="preserve">□海南农垦企业      </w:t>
            </w:r>
            <w:r>
              <w:rPr>
                <w:rFonts w:hint="eastAsia" w:ascii="宋体" w:hAnsi="宋体" w:eastAsia="宋体" w:cs="宋体"/>
                <w:sz w:val="21"/>
                <w:szCs w:val="21"/>
                <w:lang w:eastAsia="zh-CN"/>
              </w:rPr>
              <w:t>☑</w:t>
            </w:r>
            <w:r>
              <w:rPr>
                <w:rFonts w:hint="eastAsia" w:ascii="宋体" w:hAnsi="宋体" w:eastAsia="宋体" w:cs="宋体"/>
                <w:sz w:val="21"/>
                <w:szCs w:val="21"/>
              </w:rPr>
              <w:t>非海南农垦企业</w:t>
            </w:r>
          </w:p>
        </w:tc>
      </w:tr>
      <w:tr w14:paraId="0A897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222" w:type="pct"/>
            <w:tcBorders>
              <w:top w:val="single" w:color="auto" w:sz="4" w:space="0"/>
              <w:left w:val="single" w:color="auto" w:sz="4" w:space="0"/>
              <w:bottom w:val="single" w:color="auto" w:sz="4" w:space="0"/>
              <w:right w:val="single" w:color="auto" w:sz="4" w:space="0"/>
            </w:tcBorders>
            <w:vAlign w:val="center"/>
          </w:tcPr>
          <w:p w14:paraId="09FBD599">
            <w:pPr>
              <w:jc w:val="cente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pPr>
            <w: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t>法定代表人</w:t>
            </w:r>
          </w:p>
        </w:tc>
        <w:tc>
          <w:tcPr>
            <w:tcW w:w="1020" w:type="pct"/>
            <w:tcBorders>
              <w:top w:val="single" w:color="auto" w:sz="4" w:space="0"/>
              <w:left w:val="single" w:color="auto" w:sz="4" w:space="0"/>
              <w:bottom w:val="single" w:color="auto" w:sz="4" w:space="0"/>
              <w:right w:val="single" w:color="auto" w:sz="4" w:space="0"/>
            </w:tcBorders>
            <w:vAlign w:val="center"/>
          </w:tcPr>
          <w:p w14:paraId="0A5431D7">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lang w:val="en-US" w:eastAsia="zh-CN"/>
              </w:rPr>
              <w:t>黄谷</w:t>
            </w:r>
          </w:p>
        </w:tc>
        <w:tc>
          <w:tcPr>
            <w:tcW w:w="1418" w:type="pct"/>
            <w:tcBorders>
              <w:top w:val="single" w:color="auto" w:sz="4" w:space="0"/>
              <w:left w:val="single" w:color="auto" w:sz="4" w:space="0"/>
              <w:bottom w:val="single" w:color="auto" w:sz="4" w:space="0"/>
              <w:right w:val="single" w:color="auto" w:sz="4" w:space="0"/>
            </w:tcBorders>
            <w:vAlign w:val="center"/>
          </w:tcPr>
          <w:p w14:paraId="75DDAA03">
            <w:pPr>
              <w:jc w:val="cente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pPr>
            <w: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t>法定代表人证件号码</w:t>
            </w:r>
          </w:p>
        </w:tc>
        <w:tc>
          <w:tcPr>
            <w:tcW w:w="1339" w:type="pct"/>
            <w:tcBorders>
              <w:top w:val="single" w:color="auto" w:sz="4" w:space="0"/>
              <w:left w:val="single" w:color="auto" w:sz="4" w:space="0"/>
              <w:bottom w:val="single" w:color="auto" w:sz="4" w:space="0"/>
              <w:right w:val="single" w:color="auto" w:sz="4" w:space="0"/>
            </w:tcBorders>
            <w:vAlign w:val="center"/>
          </w:tcPr>
          <w:p w14:paraId="19069B8B">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lang w:val="en-US" w:eastAsia="zh-CN"/>
              </w:rPr>
              <w:t>460026197301050038</w:t>
            </w:r>
          </w:p>
        </w:tc>
      </w:tr>
      <w:tr w14:paraId="172A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222" w:type="pct"/>
            <w:tcBorders>
              <w:top w:val="single" w:color="auto" w:sz="4" w:space="0"/>
              <w:left w:val="single" w:color="auto" w:sz="4" w:space="0"/>
              <w:bottom w:val="single" w:color="auto" w:sz="4" w:space="0"/>
              <w:right w:val="single" w:color="auto" w:sz="4" w:space="0"/>
            </w:tcBorders>
            <w:vAlign w:val="center"/>
          </w:tcPr>
          <w:p w14:paraId="7377CAB3">
            <w:pPr>
              <w:jc w:val="cente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pPr>
            <w: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t>经办人</w:t>
            </w:r>
          </w:p>
        </w:tc>
        <w:tc>
          <w:tcPr>
            <w:tcW w:w="1020" w:type="pct"/>
            <w:tcBorders>
              <w:top w:val="single" w:color="auto" w:sz="4" w:space="0"/>
              <w:left w:val="single" w:color="auto" w:sz="4" w:space="0"/>
              <w:bottom w:val="single" w:color="auto" w:sz="4" w:space="0"/>
              <w:right w:val="single" w:color="auto" w:sz="4" w:space="0"/>
            </w:tcBorders>
            <w:vAlign w:val="center"/>
          </w:tcPr>
          <w:p w14:paraId="274C677B">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lang w:val="en-US" w:eastAsia="zh-CN"/>
              </w:rPr>
              <w:t>吴孝锋</w:t>
            </w:r>
          </w:p>
        </w:tc>
        <w:tc>
          <w:tcPr>
            <w:tcW w:w="1418" w:type="pct"/>
            <w:tcBorders>
              <w:top w:val="single" w:color="auto" w:sz="4" w:space="0"/>
              <w:left w:val="single" w:color="auto" w:sz="4" w:space="0"/>
              <w:bottom w:val="single" w:color="auto" w:sz="4" w:space="0"/>
              <w:right w:val="single" w:color="auto" w:sz="4" w:space="0"/>
            </w:tcBorders>
            <w:vAlign w:val="center"/>
          </w:tcPr>
          <w:p w14:paraId="2C113BEB">
            <w:pPr>
              <w:jc w:val="cente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pPr>
            <w: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t>经办人证件号码</w:t>
            </w:r>
          </w:p>
        </w:tc>
        <w:tc>
          <w:tcPr>
            <w:tcW w:w="1339" w:type="pct"/>
            <w:tcBorders>
              <w:top w:val="single" w:color="auto" w:sz="4" w:space="0"/>
              <w:left w:val="single" w:color="auto" w:sz="4" w:space="0"/>
              <w:bottom w:val="single" w:color="auto" w:sz="4" w:space="0"/>
              <w:right w:val="single" w:color="auto" w:sz="4" w:space="0"/>
            </w:tcBorders>
            <w:shd w:val="clear" w:color="auto" w:fill="auto"/>
            <w:vAlign w:val="center"/>
          </w:tcPr>
          <w:p w14:paraId="7757C9C5">
            <w:pPr>
              <w:spacing w:line="360"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460036198911176516</w:t>
            </w:r>
          </w:p>
        </w:tc>
      </w:tr>
      <w:tr w14:paraId="1681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242" w:type="pct"/>
            <w:gridSpan w:val="2"/>
            <w:tcBorders>
              <w:top w:val="single" w:color="auto" w:sz="4" w:space="0"/>
              <w:left w:val="single" w:color="auto" w:sz="4" w:space="0"/>
              <w:bottom w:val="single" w:color="auto" w:sz="4" w:space="0"/>
              <w:right w:val="single" w:color="auto" w:sz="4" w:space="0"/>
            </w:tcBorders>
            <w:vAlign w:val="center"/>
          </w:tcPr>
          <w:p w14:paraId="0DB648DE">
            <w:pPr>
              <w:jc w:val="center"/>
              <w:rPr>
                <w:rFonts w:hint="eastAsia" w:ascii="宋体" w:hAnsi="宋体" w:eastAsia="宋体" w:cs="宋体"/>
                <w:bCs/>
                <w:sz w:val="21"/>
                <w:szCs w:val="21"/>
              </w:rPr>
            </w:pPr>
            <w: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t>联系电话</w:t>
            </w:r>
          </w:p>
        </w:tc>
        <w:tc>
          <w:tcPr>
            <w:tcW w:w="2757" w:type="pct"/>
            <w:gridSpan w:val="2"/>
            <w:tcBorders>
              <w:top w:val="single" w:color="auto" w:sz="4" w:space="0"/>
              <w:left w:val="single" w:color="auto" w:sz="4" w:space="0"/>
              <w:bottom w:val="single" w:color="auto" w:sz="4" w:space="0"/>
              <w:right w:val="single" w:color="auto" w:sz="4" w:space="0"/>
            </w:tcBorders>
            <w:vAlign w:val="center"/>
          </w:tcPr>
          <w:p w14:paraId="2322949A">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lang w:val="en-US" w:eastAsia="zh-CN"/>
              </w:rPr>
              <w:t>吴孝锋    18889761120</w:t>
            </w:r>
          </w:p>
        </w:tc>
      </w:tr>
      <w:tr w14:paraId="3F63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6" w:hRule="atLeast"/>
        </w:trPr>
        <w:tc>
          <w:tcPr>
            <w:tcW w:w="1222" w:type="pct"/>
            <w:tcBorders>
              <w:left w:val="single" w:color="auto" w:sz="4" w:space="0"/>
              <w:right w:val="single" w:color="auto" w:sz="4" w:space="0"/>
            </w:tcBorders>
            <w:vAlign w:val="center"/>
          </w:tcPr>
          <w:p w14:paraId="1D0BA219">
            <w:pPr>
              <w:jc w:val="cente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pPr>
            <w: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t>资产交易</w:t>
            </w:r>
          </w:p>
          <w:p w14:paraId="503D7917">
            <w:pPr>
              <w:jc w:val="cente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pPr>
            <w: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t>内部决策情况</w:t>
            </w:r>
          </w:p>
        </w:tc>
        <w:tc>
          <w:tcPr>
            <w:tcW w:w="3777" w:type="pct"/>
            <w:gridSpan w:val="3"/>
            <w:tcBorders>
              <w:top w:val="single" w:color="auto" w:sz="4" w:space="0"/>
              <w:left w:val="single" w:color="auto" w:sz="4" w:space="0"/>
              <w:bottom w:val="single" w:color="auto" w:sz="4" w:space="0"/>
              <w:right w:val="single" w:color="auto" w:sz="4" w:space="0"/>
            </w:tcBorders>
            <w:vAlign w:val="center"/>
          </w:tcPr>
          <w:p w14:paraId="14BF1AFE">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0000FF"/>
                <w:sz w:val="21"/>
                <w:szCs w:val="21"/>
              </w:rPr>
            </w:pPr>
            <w:r>
              <w:rPr>
                <w:rFonts w:hint="eastAsia" w:ascii="宋体" w:hAnsi="宋体" w:eastAsia="宋体" w:cs="宋体"/>
                <w:sz w:val="21"/>
                <w:szCs w:val="21"/>
              </w:rPr>
              <w:t>本次资产交易是否需要内部决策批准：</w:t>
            </w:r>
            <w:r>
              <w:rPr>
                <w:rFonts w:hint="eastAsia" w:asciiTheme="minorEastAsia" w:hAnsiTheme="minorEastAsia" w:cstheme="minorEastAsia"/>
                <w:color w:val="0000FF"/>
                <w:sz w:val="16"/>
                <w:szCs w:val="16"/>
                <w:lang w:val="en-US" w:eastAsia="zh-CN"/>
              </w:rPr>
              <w:t>（根据申请单位内部决策程序决策和填写）</w:t>
            </w:r>
          </w:p>
          <w:p w14:paraId="79DBA519">
            <w:pPr>
              <w:pStyle w:val="17"/>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 xml:space="preserve"> 是  决议形式</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《屯昌县国有资产事务中心&amp;屯昌县农村产权交易中心有限公司合作框架协议》</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 </w:t>
            </w:r>
            <w:r>
              <w:rPr>
                <w:rFonts w:hint="eastAsia" w:ascii="宋体" w:hAnsi="宋体" w:eastAsia="宋体" w:cs="宋体"/>
                <w:sz w:val="21"/>
                <w:szCs w:val="21"/>
              </w:rPr>
              <w:t xml:space="preserve"> </w:t>
            </w:r>
          </w:p>
          <w:p w14:paraId="022E5031">
            <w:pPr>
              <w:pStyle w:val="17"/>
              <w:rPr>
                <w:rFonts w:hint="eastAsia" w:ascii="宋体" w:hAnsi="宋体" w:eastAsia="宋体" w:cs="宋体"/>
                <w:sz w:val="21"/>
                <w:szCs w:val="21"/>
                <w:u w:val="single"/>
              </w:rPr>
            </w:pPr>
            <w:r>
              <w:rPr>
                <w:rFonts w:hint="eastAsia" w:ascii="宋体" w:hAnsi="宋体" w:eastAsia="宋体" w:cs="宋体"/>
                <w:sz w:val="21"/>
                <w:szCs w:val="21"/>
              </w:rPr>
              <w:t>批准日期：</w:t>
            </w:r>
            <w:r>
              <w:rPr>
                <w:rFonts w:hint="eastAsia" w:ascii="宋体" w:hAnsi="宋体" w:eastAsia="宋体" w:cs="宋体"/>
                <w:sz w:val="21"/>
                <w:szCs w:val="21"/>
                <w:u w:val="single"/>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2026年5月29日                            </w:t>
            </w:r>
            <w:r>
              <w:rPr>
                <w:rFonts w:hint="eastAsia" w:ascii="宋体" w:hAnsi="宋体" w:eastAsia="宋体" w:cs="宋体"/>
                <w:color w:val="auto"/>
                <w:sz w:val="21"/>
                <w:szCs w:val="21"/>
                <w:u w:val="single"/>
              </w:rPr>
              <w:t xml:space="preserve">   </w:t>
            </w:r>
            <w:r>
              <w:rPr>
                <w:rFonts w:hint="eastAsia" w:ascii="宋体" w:hAnsi="宋体" w:eastAsia="宋体" w:cs="宋体"/>
                <w:sz w:val="21"/>
                <w:szCs w:val="21"/>
                <w:u w:val="single"/>
              </w:rPr>
              <w:t xml:space="preserve">      </w:t>
            </w:r>
          </w:p>
          <w:p w14:paraId="0B55174F">
            <w:pPr>
              <w:pStyle w:val="17"/>
              <w:rPr>
                <w:rFonts w:hint="eastAsia" w:ascii="宋体" w:hAnsi="宋体" w:eastAsia="宋体" w:cs="宋体"/>
                <w:bCs/>
                <w:sz w:val="21"/>
                <w:szCs w:val="21"/>
                <w:lang w:val="en-US" w:eastAsia="zh-CN"/>
              </w:rPr>
            </w:pPr>
            <w:r>
              <w:rPr>
                <w:rFonts w:hint="eastAsia" w:ascii="宋体" w:hAnsi="宋体" w:eastAsia="宋体" w:cs="宋体"/>
                <w:sz w:val="21"/>
                <w:szCs w:val="21"/>
              </w:rPr>
              <w:t>□ 否</w:t>
            </w:r>
          </w:p>
        </w:tc>
      </w:tr>
      <w:tr w14:paraId="0FF7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8" w:hRule="atLeast"/>
        </w:trPr>
        <w:tc>
          <w:tcPr>
            <w:tcW w:w="1222" w:type="pct"/>
            <w:tcBorders>
              <w:left w:val="single" w:color="auto" w:sz="4" w:space="0"/>
              <w:right w:val="single" w:color="auto" w:sz="4" w:space="0"/>
            </w:tcBorders>
            <w:vAlign w:val="center"/>
          </w:tcPr>
          <w:p w14:paraId="2C45F95A">
            <w:pPr>
              <w:jc w:val="cente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pPr>
            <w: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t>资产交易</w:t>
            </w:r>
          </w:p>
          <w:p w14:paraId="6E7F2439">
            <w:pPr>
              <w:jc w:val="cente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pPr>
            <w: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t>海垦集团批准情况</w:t>
            </w:r>
          </w:p>
        </w:tc>
        <w:tc>
          <w:tcPr>
            <w:tcW w:w="3777" w:type="pct"/>
            <w:gridSpan w:val="3"/>
            <w:tcBorders>
              <w:top w:val="single" w:color="auto" w:sz="4" w:space="0"/>
              <w:left w:val="single" w:color="auto" w:sz="4" w:space="0"/>
              <w:bottom w:val="single" w:color="auto" w:sz="4" w:space="0"/>
              <w:right w:val="single" w:color="auto" w:sz="4" w:space="0"/>
            </w:tcBorders>
            <w:vAlign w:val="center"/>
          </w:tcPr>
          <w:p w14:paraId="45DBA833">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0000FF"/>
                <w:sz w:val="21"/>
                <w:szCs w:val="21"/>
              </w:rPr>
            </w:pPr>
            <w:r>
              <w:rPr>
                <w:rFonts w:hint="eastAsia" w:ascii="宋体" w:hAnsi="宋体" w:eastAsia="宋体" w:cs="宋体"/>
                <w:sz w:val="21"/>
                <w:szCs w:val="21"/>
              </w:rPr>
              <w:t>本次资产交易是否需要内部决策批准：</w:t>
            </w:r>
            <w:r>
              <w:rPr>
                <w:rFonts w:hint="eastAsia" w:asciiTheme="minorEastAsia" w:hAnsiTheme="minorEastAsia" w:cstheme="minorEastAsia"/>
                <w:color w:val="0000FF"/>
                <w:sz w:val="18"/>
                <w:szCs w:val="18"/>
                <w:lang w:val="en-US" w:eastAsia="zh-CN"/>
              </w:rPr>
              <w:t>（根据海垦集团有关规定和管理事项授权清单报批和填写）</w:t>
            </w:r>
          </w:p>
          <w:p w14:paraId="3DD0290E">
            <w:pPr>
              <w:pStyle w:val="17"/>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 xml:space="preserve"> 是  决议形式</w:t>
            </w:r>
            <w:r>
              <w:rPr>
                <w:rFonts w:hint="eastAsia" w:ascii="宋体" w:hAnsi="宋体" w:eastAsia="宋体" w:cs="宋体"/>
                <w:sz w:val="21"/>
                <w:szCs w:val="21"/>
                <w:highlight w:val="none"/>
                <w:u w:val="single"/>
              </w:rPr>
              <w:t xml:space="preserve"> </w:t>
            </w:r>
            <w:r>
              <w:rPr>
                <w:rFonts w:hint="eastAsia" w:asciiTheme="minorEastAsia" w:hAnsiTheme="minorEastAsia" w:cstheme="minorEastAsia"/>
                <w:color w:val="0000FF"/>
                <w:sz w:val="18"/>
                <w:szCs w:val="18"/>
                <w:u w:val="single"/>
                <w:lang w:val="en-US" w:eastAsia="zh-CN"/>
              </w:rPr>
              <w:t>(填写具体批复部门及批复文单名称）</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 </w:t>
            </w:r>
            <w:r>
              <w:rPr>
                <w:rFonts w:hint="eastAsia" w:ascii="宋体" w:hAnsi="宋体" w:eastAsia="宋体" w:cs="宋体"/>
                <w:sz w:val="21"/>
                <w:szCs w:val="21"/>
              </w:rPr>
              <w:t xml:space="preserve"> </w:t>
            </w:r>
          </w:p>
          <w:p w14:paraId="0C315351">
            <w:pPr>
              <w:pStyle w:val="17"/>
              <w:rPr>
                <w:rFonts w:hint="eastAsia" w:ascii="宋体" w:hAnsi="宋体" w:eastAsia="宋体" w:cs="宋体"/>
                <w:sz w:val="21"/>
                <w:szCs w:val="21"/>
                <w:u w:val="single"/>
              </w:rPr>
            </w:pPr>
            <w:r>
              <w:rPr>
                <w:rFonts w:hint="eastAsia" w:ascii="宋体" w:hAnsi="宋体" w:eastAsia="宋体" w:cs="宋体"/>
                <w:sz w:val="21"/>
                <w:szCs w:val="21"/>
              </w:rPr>
              <w:t>批准日期：</w:t>
            </w:r>
            <w:r>
              <w:rPr>
                <w:rFonts w:hint="eastAsia" w:ascii="宋体" w:hAnsi="宋体" w:eastAsia="宋体" w:cs="宋体"/>
                <w:sz w:val="21"/>
                <w:szCs w:val="21"/>
                <w:u w:val="single"/>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sz w:val="21"/>
                <w:szCs w:val="21"/>
                <w:u w:val="single"/>
              </w:rPr>
              <w:t xml:space="preserve">      </w:t>
            </w:r>
          </w:p>
          <w:p w14:paraId="10558A74">
            <w:pPr>
              <w:jc w:val="left"/>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rPr>
              <w:t xml:space="preserve"> 否</w:t>
            </w:r>
          </w:p>
        </w:tc>
      </w:tr>
      <w:tr w14:paraId="07F1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trPr>
        <w:tc>
          <w:tcPr>
            <w:tcW w:w="1222" w:type="pct"/>
            <w:tcBorders>
              <w:left w:val="single" w:color="auto" w:sz="4" w:space="0"/>
              <w:right w:val="single" w:color="auto" w:sz="4" w:space="0"/>
            </w:tcBorders>
            <w:vAlign w:val="center"/>
          </w:tcPr>
          <w:p w14:paraId="32AB62C7">
            <w:pPr>
              <w:jc w:val="cente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pPr>
            <w:r>
              <w:rPr>
                <w:rFonts w:hint="eastAsia" w:asciiTheme="minorEastAsia" w:hAnsiTheme="minorEastAsia" w:cstheme="minorEastAsia"/>
                <w:b/>
                <w:bCs w:val="0"/>
                <w:color w:val="000000" w:themeColor="text1"/>
                <w:sz w:val="21"/>
                <w:szCs w:val="21"/>
                <w:lang w:val="en-US" w:eastAsia="zh-CN"/>
                <w14:textFill>
                  <w14:solidFill>
                    <w14:schemeClr w14:val="tx1"/>
                  </w14:solidFill>
                </w14:textFill>
              </w:rPr>
              <w:t>备注</w:t>
            </w:r>
          </w:p>
        </w:tc>
        <w:tc>
          <w:tcPr>
            <w:tcW w:w="3777" w:type="pct"/>
            <w:gridSpan w:val="3"/>
            <w:tcBorders>
              <w:top w:val="single" w:color="auto" w:sz="4" w:space="0"/>
              <w:left w:val="single" w:color="auto" w:sz="4" w:space="0"/>
              <w:bottom w:val="single" w:color="auto" w:sz="4" w:space="0"/>
              <w:right w:val="single" w:color="auto" w:sz="4" w:space="0"/>
            </w:tcBorders>
            <w:vAlign w:val="center"/>
          </w:tcPr>
          <w:p w14:paraId="216C511C">
            <w:pPr>
              <w:keepNext w:val="0"/>
              <w:keepLines w:val="0"/>
              <w:widowControl/>
              <w:suppressLineNumbers w:val="0"/>
              <w:jc w:val="left"/>
              <w:rPr>
                <w:rFonts w:hint="eastAsia" w:ascii="宋体" w:hAnsi="宋体" w:eastAsia="宋体" w:cs="宋体"/>
                <w:sz w:val="21"/>
                <w:szCs w:val="21"/>
                <w:lang w:val="en-US" w:eastAsia="zh-CN"/>
              </w:rPr>
            </w:pPr>
            <w:r>
              <w:rPr>
                <w:rFonts w:hint="eastAsia" w:asciiTheme="minorEastAsia" w:hAnsiTheme="minorEastAsia" w:cstheme="minorEastAsia"/>
                <w:color w:val="0000FF"/>
                <w:sz w:val="18"/>
                <w:szCs w:val="18"/>
                <w:lang w:val="en-US" w:eastAsia="zh-CN"/>
              </w:rPr>
              <w:t>（可填写其他关于上述内容的补充或依据）</w:t>
            </w:r>
          </w:p>
        </w:tc>
      </w:tr>
    </w:tbl>
    <w:p w14:paraId="278E51F2">
      <w:pPr>
        <w:rPr>
          <w:rFonts w:hint="eastAsia" w:ascii="宋体" w:hAnsi="宋体" w:eastAsia="宋体" w:cs="宋体"/>
          <w:sz w:val="21"/>
          <w:szCs w:val="21"/>
          <w:lang w:val="en-US" w:eastAsia="zh-CN"/>
        </w:rPr>
      </w:pPr>
    </w:p>
    <w:p w14:paraId="481A21B0">
      <w:pPr>
        <w:spacing w:line="600" w:lineRule="auto"/>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标的1</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4"/>
        <w:gridCol w:w="1962"/>
        <w:gridCol w:w="4876"/>
      </w:tblGrid>
      <w:tr w14:paraId="4124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3" w:hRule="atLeast"/>
        </w:trPr>
        <w:tc>
          <w:tcPr>
            <w:tcW w:w="5000" w:type="pct"/>
            <w:gridSpan w:val="3"/>
            <w:tcBorders>
              <w:top w:val="single" w:color="auto" w:sz="4" w:space="0"/>
              <w:left w:val="single" w:color="auto" w:sz="4" w:space="0"/>
              <w:right w:val="single" w:color="auto" w:sz="4" w:space="0"/>
            </w:tcBorders>
            <w:shd w:val="clear" w:color="auto" w:fill="D7D7D7" w:themeFill="background1" w:themeFillShade="D8"/>
            <w:noWrap w:val="0"/>
            <w:vAlign w:val="center"/>
          </w:tcPr>
          <w:p w14:paraId="2851BC19">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公告内容</w:t>
            </w:r>
          </w:p>
        </w:tc>
      </w:tr>
      <w:tr w14:paraId="768B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988" w:type="pct"/>
            <w:vMerge w:val="restart"/>
            <w:tcBorders>
              <w:top w:val="single" w:color="auto" w:sz="4" w:space="0"/>
              <w:left w:val="single" w:color="auto" w:sz="4" w:space="0"/>
              <w:right w:val="single" w:color="auto" w:sz="4" w:space="0"/>
            </w:tcBorders>
            <w:noWrap w:val="0"/>
            <w:vAlign w:val="center"/>
          </w:tcPr>
          <w:p w14:paraId="1334C38A">
            <w:pPr>
              <w:jc w:val="center"/>
              <w:rPr>
                <w:rFonts w:hint="eastAsia" w:asciiTheme="minorEastAsia" w:hAnsiTheme="minorEastAsia" w:cstheme="minorEastAsia"/>
                <w:b/>
                <w:bCs w:val="0"/>
                <w:color w:val="auto"/>
                <w:sz w:val="21"/>
                <w:szCs w:val="21"/>
                <w:lang w:val="en-US" w:eastAsia="zh-CN"/>
              </w:rPr>
            </w:pPr>
            <w:r>
              <w:rPr>
                <w:rFonts w:hint="eastAsia" w:asciiTheme="minorEastAsia" w:hAnsiTheme="minorEastAsia" w:cstheme="minorEastAsia"/>
                <w:b/>
                <w:bCs w:val="0"/>
                <w:color w:val="auto"/>
                <w:sz w:val="21"/>
                <w:szCs w:val="21"/>
                <w:lang w:val="en-US" w:eastAsia="zh-CN"/>
              </w:rPr>
              <w:t>标的概况</w:t>
            </w:r>
          </w:p>
        </w:tc>
        <w:tc>
          <w:tcPr>
            <w:tcW w:w="1151" w:type="pct"/>
            <w:tcBorders>
              <w:top w:val="single" w:color="auto" w:sz="4" w:space="0"/>
              <w:left w:val="single" w:color="auto" w:sz="4" w:space="0"/>
              <w:bottom w:val="single" w:color="auto" w:sz="4" w:space="0"/>
              <w:right w:val="single" w:color="auto" w:sz="4" w:space="0"/>
            </w:tcBorders>
            <w:noWrap w:val="0"/>
            <w:vAlign w:val="center"/>
          </w:tcPr>
          <w:p w14:paraId="753844C5">
            <w:pPr>
              <w:jc w:val="center"/>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标的名称</w:t>
            </w:r>
          </w:p>
        </w:tc>
        <w:tc>
          <w:tcPr>
            <w:tcW w:w="2860" w:type="pct"/>
            <w:tcBorders>
              <w:top w:val="single" w:color="auto" w:sz="4" w:space="0"/>
              <w:left w:val="single" w:color="auto" w:sz="4" w:space="0"/>
              <w:bottom w:val="single" w:color="auto" w:sz="4" w:space="0"/>
              <w:right w:val="single" w:color="auto" w:sz="4" w:space="0"/>
            </w:tcBorders>
            <w:noWrap w:val="0"/>
            <w:vAlign w:val="center"/>
          </w:tcPr>
          <w:p w14:paraId="623810DB">
            <w:pPr>
              <w:keepNext w:val="0"/>
              <w:keepLines w:val="0"/>
              <w:widowControl/>
              <w:suppressLineNumbers w:val="0"/>
              <w:jc w:val="both"/>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屯昌县屯城镇吉安小区B3-3106商铺163.35㎡出租</w:t>
            </w:r>
          </w:p>
        </w:tc>
      </w:tr>
      <w:tr w14:paraId="29C4A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988" w:type="pct"/>
            <w:vMerge w:val="continue"/>
            <w:tcBorders>
              <w:left w:val="single" w:color="auto" w:sz="4" w:space="0"/>
              <w:right w:val="single" w:color="auto" w:sz="4" w:space="0"/>
            </w:tcBorders>
            <w:noWrap w:val="0"/>
            <w:vAlign w:val="center"/>
          </w:tcPr>
          <w:p w14:paraId="48D9AC33">
            <w:pPr>
              <w:jc w:val="center"/>
              <w:rPr>
                <w:rFonts w:hint="eastAsia" w:asciiTheme="minorEastAsia" w:hAnsiTheme="minorEastAsia" w:cstheme="minorEastAsia"/>
                <w:b/>
                <w:bCs w:val="0"/>
                <w:color w:val="auto"/>
                <w:sz w:val="21"/>
                <w:szCs w:val="21"/>
                <w:lang w:val="en-US" w:eastAsia="zh-CN"/>
              </w:rPr>
            </w:pPr>
          </w:p>
        </w:tc>
        <w:tc>
          <w:tcPr>
            <w:tcW w:w="1151" w:type="pct"/>
            <w:tcBorders>
              <w:top w:val="single" w:color="auto" w:sz="4" w:space="0"/>
              <w:left w:val="single" w:color="auto" w:sz="4" w:space="0"/>
              <w:bottom w:val="single" w:color="auto" w:sz="4" w:space="0"/>
              <w:right w:val="single" w:color="auto" w:sz="4" w:space="0"/>
            </w:tcBorders>
            <w:noWrap w:val="0"/>
            <w:vAlign w:val="center"/>
          </w:tcPr>
          <w:p w14:paraId="47B37F1B">
            <w:pPr>
              <w:jc w:val="center"/>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所在位置</w:t>
            </w:r>
          </w:p>
        </w:tc>
        <w:tc>
          <w:tcPr>
            <w:tcW w:w="2860" w:type="pct"/>
            <w:tcBorders>
              <w:top w:val="single" w:color="auto" w:sz="4" w:space="0"/>
              <w:left w:val="single" w:color="auto" w:sz="4" w:space="0"/>
              <w:bottom w:val="single" w:color="auto" w:sz="4" w:space="0"/>
              <w:right w:val="single" w:color="auto" w:sz="4" w:space="0"/>
            </w:tcBorders>
            <w:noWrap w:val="0"/>
            <w:vAlign w:val="center"/>
          </w:tcPr>
          <w:p w14:paraId="4BFA18A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屯昌县屯城镇吉安小区</w:t>
            </w:r>
          </w:p>
        </w:tc>
      </w:tr>
      <w:tr w14:paraId="3EA7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988" w:type="pct"/>
            <w:vMerge w:val="continue"/>
            <w:tcBorders>
              <w:left w:val="single" w:color="auto" w:sz="4" w:space="0"/>
              <w:right w:val="single" w:color="auto" w:sz="4" w:space="0"/>
            </w:tcBorders>
            <w:noWrap w:val="0"/>
            <w:vAlign w:val="center"/>
          </w:tcPr>
          <w:p w14:paraId="3565A703">
            <w:pPr>
              <w:jc w:val="center"/>
              <w:rPr>
                <w:rFonts w:hint="eastAsia" w:asciiTheme="minorEastAsia" w:hAnsiTheme="minorEastAsia" w:cstheme="minorEastAsia"/>
                <w:b/>
                <w:bCs w:val="0"/>
                <w:color w:val="auto"/>
                <w:sz w:val="21"/>
                <w:szCs w:val="21"/>
                <w:lang w:val="en-US" w:eastAsia="zh-CN"/>
              </w:rPr>
            </w:pPr>
          </w:p>
        </w:tc>
        <w:tc>
          <w:tcPr>
            <w:tcW w:w="1151" w:type="pct"/>
            <w:tcBorders>
              <w:top w:val="single" w:color="auto" w:sz="4" w:space="0"/>
              <w:left w:val="single" w:color="auto" w:sz="4" w:space="0"/>
              <w:bottom w:val="single" w:color="auto" w:sz="4" w:space="0"/>
              <w:right w:val="single" w:color="auto" w:sz="4" w:space="0"/>
            </w:tcBorders>
            <w:noWrap w:val="0"/>
            <w:vAlign w:val="center"/>
          </w:tcPr>
          <w:p w14:paraId="414BD2A7">
            <w:pPr>
              <w:jc w:val="center"/>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账面原值（如无原值取评估值）</w:t>
            </w:r>
          </w:p>
        </w:tc>
        <w:tc>
          <w:tcPr>
            <w:tcW w:w="2860" w:type="pct"/>
            <w:tcBorders>
              <w:top w:val="single" w:color="auto" w:sz="4" w:space="0"/>
              <w:left w:val="single" w:color="auto" w:sz="4" w:space="0"/>
              <w:bottom w:val="single" w:color="auto" w:sz="4" w:space="0"/>
              <w:right w:val="single" w:color="auto" w:sz="4" w:space="0"/>
            </w:tcBorders>
            <w:noWrap w:val="0"/>
            <w:vAlign w:val="center"/>
          </w:tcPr>
          <w:p w14:paraId="5F9E606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31368元</w:t>
            </w:r>
          </w:p>
        </w:tc>
      </w:tr>
      <w:tr w14:paraId="0CF5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988" w:type="pct"/>
            <w:vMerge w:val="continue"/>
            <w:tcBorders>
              <w:left w:val="single" w:color="auto" w:sz="4" w:space="0"/>
              <w:right w:val="single" w:color="auto" w:sz="4" w:space="0"/>
            </w:tcBorders>
            <w:noWrap w:val="0"/>
            <w:vAlign w:val="center"/>
          </w:tcPr>
          <w:p w14:paraId="29F293CF">
            <w:pPr>
              <w:jc w:val="center"/>
              <w:rPr>
                <w:rFonts w:hint="eastAsia" w:asciiTheme="minorEastAsia" w:hAnsiTheme="minorEastAsia" w:cstheme="minorEastAsia"/>
                <w:b/>
                <w:bCs w:val="0"/>
                <w:color w:val="auto"/>
                <w:sz w:val="21"/>
                <w:szCs w:val="21"/>
                <w:lang w:val="en-US" w:eastAsia="zh-CN"/>
              </w:rPr>
            </w:pPr>
          </w:p>
        </w:tc>
        <w:tc>
          <w:tcPr>
            <w:tcW w:w="1151" w:type="pct"/>
            <w:tcBorders>
              <w:top w:val="single" w:color="auto" w:sz="4" w:space="0"/>
              <w:left w:val="single" w:color="auto" w:sz="4" w:space="0"/>
              <w:bottom w:val="single" w:color="auto" w:sz="4" w:space="0"/>
              <w:right w:val="single" w:color="auto" w:sz="4" w:space="0"/>
            </w:tcBorders>
            <w:noWrap w:val="0"/>
            <w:vAlign w:val="center"/>
          </w:tcPr>
          <w:p w14:paraId="030A8BC3">
            <w:pPr>
              <w:jc w:val="center"/>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资产评估价值</w:t>
            </w:r>
          </w:p>
        </w:tc>
        <w:tc>
          <w:tcPr>
            <w:tcW w:w="2860" w:type="pct"/>
            <w:tcBorders>
              <w:top w:val="single" w:color="auto" w:sz="4" w:space="0"/>
              <w:left w:val="single" w:color="auto" w:sz="4" w:space="0"/>
              <w:bottom w:val="single" w:color="auto" w:sz="4" w:space="0"/>
              <w:right w:val="single" w:color="auto" w:sz="4" w:space="0"/>
            </w:tcBorders>
            <w:noWrap w:val="0"/>
            <w:vAlign w:val="center"/>
          </w:tcPr>
          <w:p w14:paraId="22C61B0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cstheme="minorEastAsia"/>
                <w:b w:val="0"/>
                <w:bCs/>
                <w:color w:val="auto"/>
                <w:sz w:val="21"/>
                <w:szCs w:val="21"/>
                <w:lang w:val="en-US" w:eastAsia="zh-CN"/>
              </w:rPr>
            </w:pPr>
            <w:r>
              <w:rPr>
                <w:rFonts w:hint="eastAsia" w:asciiTheme="minorEastAsia" w:hAnsiTheme="minorEastAsia" w:cstheme="minorEastAsia"/>
                <w:color w:val="auto"/>
                <w:sz w:val="18"/>
                <w:szCs w:val="18"/>
                <w:lang w:val="en-US" w:eastAsia="zh-CN"/>
              </w:rPr>
              <w:t>31368元/年</w:t>
            </w:r>
          </w:p>
        </w:tc>
      </w:tr>
      <w:tr w14:paraId="52832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 w:hRule="atLeast"/>
        </w:trPr>
        <w:tc>
          <w:tcPr>
            <w:tcW w:w="988" w:type="pct"/>
            <w:vMerge w:val="continue"/>
            <w:tcBorders>
              <w:left w:val="single" w:color="auto" w:sz="4" w:space="0"/>
              <w:right w:val="single" w:color="auto" w:sz="4" w:space="0"/>
            </w:tcBorders>
            <w:noWrap w:val="0"/>
            <w:vAlign w:val="center"/>
          </w:tcPr>
          <w:p w14:paraId="531E96E6">
            <w:pPr>
              <w:jc w:val="center"/>
              <w:rPr>
                <w:rFonts w:hint="eastAsia" w:asciiTheme="minorEastAsia" w:hAnsiTheme="minorEastAsia" w:cstheme="minorEastAsia"/>
                <w:b/>
                <w:bCs w:val="0"/>
                <w:color w:val="auto"/>
                <w:sz w:val="21"/>
                <w:szCs w:val="21"/>
                <w:lang w:val="en-US" w:eastAsia="zh-CN"/>
              </w:rPr>
            </w:pPr>
          </w:p>
        </w:tc>
        <w:tc>
          <w:tcPr>
            <w:tcW w:w="1151" w:type="pct"/>
            <w:tcBorders>
              <w:top w:val="single" w:color="auto" w:sz="4" w:space="0"/>
              <w:left w:val="single" w:color="auto" w:sz="4" w:space="0"/>
              <w:bottom w:val="single" w:color="auto" w:sz="4" w:space="0"/>
              <w:right w:val="single" w:color="auto" w:sz="4" w:space="0"/>
            </w:tcBorders>
            <w:noWrap w:val="0"/>
            <w:vAlign w:val="center"/>
          </w:tcPr>
          <w:p w14:paraId="5A5C7B8F">
            <w:pPr>
              <w:jc w:val="center"/>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房屋结构</w:t>
            </w:r>
          </w:p>
        </w:tc>
        <w:tc>
          <w:tcPr>
            <w:tcW w:w="2860" w:type="pct"/>
            <w:tcBorders>
              <w:top w:val="single" w:color="auto" w:sz="4" w:space="0"/>
              <w:left w:val="single" w:color="auto" w:sz="4" w:space="0"/>
              <w:bottom w:val="single" w:color="auto" w:sz="4" w:space="0"/>
              <w:right w:val="single" w:color="auto" w:sz="4" w:space="0"/>
            </w:tcBorders>
            <w:noWrap w:val="0"/>
            <w:vAlign w:val="center"/>
          </w:tcPr>
          <w:p w14:paraId="2AF2506A">
            <w:pPr>
              <w:spacing w:line="360" w:lineRule="auto"/>
              <w:jc w:val="left"/>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color w:val="auto"/>
                <w:sz w:val="18"/>
                <w:szCs w:val="18"/>
                <w:lang w:val="en-US" w:eastAsia="zh-CN"/>
              </w:rPr>
              <w:t>钢混</w:t>
            </w:r>
          </w:p>
        </w:tc>
      </w:tr>
      <w:tr w14:paraId="2077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988" w:type="pct"/>
            <w:vMerge w:val="continue"/>
            <w:tcBorders>
              <w:left w:val="single" w:color="auto" w:sz="4" w:space="0"/>
              <w:right w:val="single" w:color="auto" w:sz="4" w:space="0"/>
            </w:tcBorders>
            <w:noWrap w:val="0"/>
            <w:vAlign w:val="center"/>
          </w:tcPr>
          <w:p w14:paraId="1E29FB30">
            <w:pPr>
              <w:jc w:val="center"/>
              <w:rPr>
                <w:rFonts w:hint="eastAsia" w:asciiTheme="minorEastAsia" w:hAnsiTheme="minorEastAsia" w:cstheme="minorEastAsia"/>
                <w:b/>
                <w:bCs w:val="0"/>
                <w:color w:val="auto"/>
                <w:sz w:val="21"/>
                <w:szCs w:val="21"/>
                <w:lang w:val="en-US" w:eastAsia="zh-CN"/>
              </w:rPr>
            </w:pPr>
          </w:p>
        </w:tc>
        <w:tc>
          <w:tcPr>
            <w:tcW w:w="1151" w:type="pct"/>
            <w:tcBorders>
              <w:top w:val="single" w:color="auto" w:sz="4" w:space="0"/>
              <w:left w:val="single" w:color="auto" w:sz="4" w:space="0"/>
              <w:bottom w:val="single" w:color="auto" w:sz="4" w:space="0"/>
              <w:right w:val="single" w:color="auto" w:sz="4" w:space="0"/>
            </w:tcBorders>
            <w:noWrap w:val="0"/>
            <w:vAlign w:val="center"/>
          </w:tcPr>
          <w:p w14:paraId="4954CD25">
            <w:pPr>
              <w:jc w:val="center"/>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权属性质</w:t>
            </w:r>
          </w:p>
        </w:tc>
        <w:tc>
          <w:tcPr>
            <w:tcW w:w="2860" w:type="pct"/>
            <w:tcBorders>
              <w:top w:val="single" w:color="auto" w:sz="4" w:space="0"/>
              <w:left w:val="single" w:color="auto" w:sz="4" w:space="0"/>
              <w:bottom w:val="single" w:color="auto" w:sz="4" w:space="0"/>
              <w:right w:val="single" w:color="auto" w:sz="4" w:space="0"/>
            </w:tcBorders>
            <w:noWrap w:val="0"/>
            <w:vAlign w:val="center"/>
          </w:tcPr>
          <w:p w14:paraId="7C973D2D">
            <w:pPr>
              <w:spacing w:line="360" w:lineRule="auto"/>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color w:val="auto"/>
                <w:sz w:val="18"/>
                <w:szCs w:val="18"/>
                <w:lang w:val="en-US" w:eastAsia="zh-CN"/>
              </w:rPr>
              <w:t>国有资产</w:t>
            </w:r>
          </w:p>
        </w:tc>
      </w:tr>
      <w:tr w14:paraId="3C773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988" w:type="pct"/>
            <w:vMerge w:val="continue"/>
            <w:tcBorders>
              <w:left w:val="single" w:color="auto" w:sz="4" w:space="0"/>
              <w:right w:val="single" w:color="auto" w:sz="4" w:space="0"/>
            </w:tcBorders>
            <w:noWrap w:val="0"/>
            <w:vAlign w:val="center"/>
          </w:tcPr>
          <w:p w14:paraId="16248002">
            <w:pPr>
              <w:jc w:val="center"/>
              <w:rPr>
                <w:rFonts w:hint="eastAsia" w:asciiTheme="minorEastAsia" w:hAnsiTheme="minorEastAsia" w:cstheme="minorEastAsia"/>
                <w:b/>
                <w:bCs w:val="0"/>
                <w:color w:val="auto"/>
                <w:sz w:val="21"/>
                <w:szCs w:val="21"/>
                <w:lang w:val="en-US" w:eastAsia="zh-CN"/>
              </w:rPr>
            </w:pPr>
          </w:p>
        </w:tc>
        <w:tc>
          <w:tcPr>
            <w:tcW w:w="1151" w:type="pct"/>
            <w:tcBorders>
              <w:top w:val="single" w:color="auto" w:sz="4" w:space="0"/>
              <w:left w:val="single" w:color="auto" w:sz="4" w:space="0"/>
              <w:bottom w:val="single" w:color="auto" w:sz="4" w:space="0"/>
              <w:right w:val="single" w:color="auto" w:sz="4" w:space="0"/>
            </w:tcBorders>
            <w:noWrap w:val="0"/>
            <w:vAlign w:val="center"/>
          </w:tcPr>
          <w:p w14:paraId="26728CA7">
            <w:pPr>
              <w:jc w:val="center"/>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权证编号</w:t>
            </w:r>
          </w:p>
        </w:tc>
        <w:tc>
          <w:tcPr>
            <w:tcW w:w="2860" w:type="pct"/>
            <w:tcBorders>
              <w:top w:val="single" w:color="auto" w:sz="4" w:space="0"/>
              <w:left w:val="single" w:color="auto" w:sz="4" w:space="0"/>
              <w:bottom w:val="single" w:color="auto" w:sz="4" w:space="0"/>
              <w:right w:val="single" w:color="auto" w:sz="4" w:space="0"/>
            </w:tcBorders>
            <w:noWrap w:val="0"/>
            <w:vAlign w:val="center"/>
          </w:tcPr>
          <w:p w14:paraId="2776ED6F">
            <w:pPr>
              <w:spacing w:line="360" w:lineRule="auto"/>
              <w:rPr>
                <w:rFonts w:hint="eastAsia" w:asciiTheme="minorEastAsia" w:hAnsiTheme="minorEastAsia" w:cstheme="minorEastAsia"/>
                <w:b w:val="0"/>
                <w:bCs/>
                <w:color w:val="auto"/>
                <w:sz w:val="21"/>
                <w:szCs w:val="21"/>
                <w:lang w:val="en-US" w:eastAsia="zh-CN"/>
              </w:rPr>
            </w:pPr>
          </w:p>
        </w:tc>
      </w:tr>
      <w:tr w14:paraId="35C8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988" w:type="pct"/>
            <w:vMerge w:val="continue"/>
            <w:tcBorders>
              <w:left w:val="single" w:color="auto" w:sz="4" w:space="0"/>
              <w:right w:val="single" w:color="auto" w:sz="4" w:space="0"/>
            </w:tcBorders>
            <w:noWrap w:val="0"/>
            <w:vAlign w:val="center"/>
          </w:tcPr>
          <w:p w14:paraId="3B727C4E">
            <w:pPr>
              <w:jc w:val="center"/>
              <w:rPr>
                <w:rFonts w:hint="eastAsia" w:asciiTheme="minorEastAsia" w:hAnsiTheme="minorEastAsia" w:cstheme="minorEastAsia"/>
                <w:b/>
                <w:bCs w:val="0"/>
                <w:color w:val="auto"/>
                <w:sz w:val="21"/>
                <w:szCs w:val="21"/>
                <w:lang w:val="en-US" w:eastAsia="zh-CN"/>
              </w:rPr>
            </w:pPr>
          </w:p>
        </w:tc>
        <w:tc>
          <w:tcPr>
            <w:tcW w:w="1151" w:type="pct"/>
            <w:tcBorders>
              <w:top w:val="single" w:color="auto" w:sz="4" w:space="0"/>
              <w:left w:val="single" w:color="auto" w:sz="4" w:space="0"/>
              <w:bottom w:val="single" w:color="auto" w:sz="4" w:space="0"/>
              <w:right w:val="single" w:color="auto" w:sz="4" w:space="0"/>
            </w:tcBorders>
            <w:noWrap w:val="0"/>
            <w:vAlign w:val="center"/>
          </w:tcPr>
          <w:p w14:paraId="257B7C81">
            <w:pPr>
              <w:jc w:val="center"/>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出租面积</w:t>
            </w:r>
          </w:p>
        </w:tc>
        <w:tc>
          <w:tcPr>
            <w:tcW w:w="2860" w:type="pct"/>
            <w:tcBorders>
              <w:top w:val="single" w:color="auto" w:sz="4" w:space="0"/>
              <w:left w:val="single" w:color="auto" w:sz="4" w:space="0"/>
              <w:bottom w:val="single" w:color="auto" w:sz="4" w:space="0"/>
              <w:right w:val="single" w:color="auto" w:sz="4" w:space="0"/>
            </w:tcBorders>
            <w:noWrap w:val="0"/>
            <w:vAlign w:val="center"/>
          </w:tcPr>
          <w:p w14:paraId="033C0D9D">
            <w:pPr>
              <w:spacing w:line="360" w:lineRule="auto"/>
              <w:rPr>
                <w:rFonts w:hint="default" w:asciiTheme="minorEastAsia" w:hAnsiTheme="minorEastAsia" w:cstheme="minorEastAsia"/>
                <w:b w:val="0"/>
                <w:bCs/>
                <w:color w:val="auto"/>
                <w:sz w:val="21"/>
                <w:szCs w:val="21"/>
                <w:lang w:val="en-US" w:eastAsia="zh-CN"/>
              </w:rPr>
            </w:pPr>
            <w:r>
              <w:rPr>
                <w:rFonts w:hint="eastAsia" w:asciiTheme="minorEastAsia" w:hAnsiTheme="minorEastAsia" w:cstheme="minorEastAsia"/>
                <w:color w:val="auto"/>
                <w:sz w:val="18"/>
                <w:szCs w:val="18"/>
                <w:lang w:val="en-US" w:eastAsia="zh-CN"/>
              </w:rPr>
              <w:t>163.35</w:t>
            </w:r>
          </w:p>
        </w:tc>
      </w:tr>
      <w:tr w14:paraId="22BA4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988" w:type="pct"/>
            <w:vMerge w:val="continue"/>
            <w:tcBorders>
              <w:left w:val="single" w:color="auto" w:sz="4" w:space="0"/>
              <w:right w:val="single" w:color="auto" w:sz="4" w:space="0"/>
            </w:tcBorders>
            <w:noWrap w:val="0"/>
            <w:vAlign w:val="center"/>
          </w:tcPr>
          <w:p w14:paraId="064CA7EA">
            <w:pPr>
              <w:jc w:val="center"/>
              <w:rPr>
                <w:rFonts w:hint="eastAsia" w:asciiTheme="minorEastAsia" w:hAnsiTheme="minorEastAsia" w:cstheme="minorEastAsia"/>
                <w:b/>
                <w:bCs w:val="0"/>
                <w:color w:val="auto"/>
                <w:sz w:val="21"/>
                <w:szCs w:val="21"/>
                <w:lang w:val="en-US" w:eastAsia="zh-CN"/>
              </w:rPr>
            </w:pPr>
          </w:p>
        </w:tc>
        <w:tc>
          <w:tcPr>
            <w:tcW w:w="1151" w:type="pct"/>
            <w:tcBorders>
              <w:top w:val="single" w:color="auto" w:sz="4" w:space="0"/>
              <w:left w:val="single" w:color="auto" w:sz="4" w:space="0"/>
              <w:bottom w:val="single" w:color="auto" w:sz="4" w:space="0"/>
              <w:right w:val="single" w:color="auto" w:sz="4" w:space="0"/>
            </w:tcBorders>
            <w:noWrap w:val="0"/>
            <w:vAlign w:val="center"/>
          </w:tcPr>
          <w:p w14:paraId="369B9636">
            <w:pPr>
              <w:jc w:val="center"/>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出租期限</w:t>
            </w:r>
          </w:p>
        </w:tc>
        <w:tc>
          <w:tcPr>
            <w:tcW w:w="2860" w:type="pct"/>
            <w:tcBorders>
              <w:top w:val="single" w:color="auto" w:sz="4" w:space="0"/>
              <w:left w:val="single" w:color="auto" w:sz="4" w:space="0"/>
              <w:bottom w:val="single" w:color="auto" w:sz="4" w:space="0"/>
              <w:right w:val="single" w:color="auto" w:sz="4" w:space="0"/>
            </w:tcBorders>
            <w:noWrap w:val="0"/>
            <w:vAlign w:val="center"/>
          </w:tcPr>
          <w:p w14:paraId="0403ACF1">
            <w:pPr>
              <w:spacing w:line="360" w:lineRule="auto"/>
              <w:rPr>
                <w:rFonts w:hint="default" w:asciiTheme="minorEastAsia" w:hAnsiTheme="minorEastAsia" w:cstheme="minorEastAsia"/>
                <w:b w:val="0"/>
                <w:bCs/>
                <w:color w:val="auto"/>
                <w:sz w:val="21"/>
                <w:szCs w:val="21"/>
                <w:lang w:val="en-US" w:eastAsia="zh-CN"/>
              </w:rPr>
            </w:pPr>
            <w:r>
              <w:rPr>
                <w:rFonts w:hint="eastAsia" w:asciiTheme="minorEastAsia" w:hAnsiTheme="minorEastAsia" w:cstheme="minorEastAsia"/>
                <w:color w:val="auto"/>
                <w:sz w:val="18"/>
                <w:szCs w:val="18"/>
                <w:lang w:val="en-US" w:eastAsia="zh-CN"/>
              </w:rPr>
              <w:t>5</w:t>
            </w:r>
            <w:bookmarkStart w:id="0" w:name="_GoBack"/>
            <w:bookmarkEnd w:id="0"/>
            <w:r>
              <w:rPr>
                <w:rFonts w:hint="eastAsia" w:asciiTheme="minorEastAsia" w:hAnsiTheme="minorEastAsia" w:cstheme="minorEastAsia"/>
                <w:color w:val="auto"/>
                <w:sz w:val="18"/>
                <w:szCs w:val="18"/>
                <w:lang w:val="en-US" w:eastAsia="zh-CN"/>
              </w:rPr>
              <w:t>年</w:t>
            </w:r>
          </w:p>
        </w:tc>
      </w:tr>
      <w:tr w14:paraId="300F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988" w:type="pct"/>
            <w:vMerge w:val="continue"/>
            <w:tcBorders>
              <w:left w:val="single" w:color="auto" w:sz="4" w:space="0"/>
              <w:right w:val="single" w:color="auto" w:sz="4" w:space="0"/>
            </w:tcBorders>
            <w:noWrap w:val="0"/>
            <w:vAlign w:val="center"/>
          </w:tcPr>
          <w:p w14:paraId="2FDCD96E">
            <w:pPr>
              <w:jc w:val="center"/>
              <w:rPr>
                <w:rFonts w:hint="eastAsia" w:asciiTheme="minorEastAsia" w:hAnsiTheme="minorEastAsia" w:cstheme="minorEastAsia"/>
                <w:b/>
                <w:bCs w:val="0"/>
                <w:color w:val="auto"/>
                <w:sz w:val="21"/>
                <w:szCs w:val="21"/>
                <w:lang w:val="en-US" w:eastAsia="zh-CN"/>
              </w:rPr>
            </w:pPr>
          </w:p>
        </w:tc>
        <w:tc>
          <w:tcPr>
            <w:tcW w:w="1151" w:type="pct"/>
            <w:tcBorders>
              <w:top w:val="single" w:color="auto" w:sz="4" w:space="0"/>
              <w:left w:val="single" w:color="auto" w:sz="4" w:space="0"/>
              <w:bottom w:val="single" w:color="auto" w:sz="4" w:space="0"/>
              <w:right w:val="single" w:color="auto" w:sz="4" w:space="0"/>
            </w:tcBorders>
            <w:noWrap w:val="0"/>
            <w:vAlign w:val="center"/>
          </w:tcPr>
          <w:p w14:paraId="094577B2">
            <w:pPr>
              <w:jc w:val="center"/>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出租用途</w:t>
            </w:r>
          </w:p>
        </w:tc>
        <w:tc>
          <w:tcPr>
            <w:tcW w:w="2860" w:type="pct"/>
            <w:tcBorders>
              <w:top w:val="single" w:color="auto" w:sz="4" w:space="0"/>
              <w:left w:val="single" w:color="auto" w:sz="4" w:space="0"/>
              <w:bottom w:val="single" w:color="auto" w:sz="4" w:space="0"/>
              <w:right w:val="single" w:color="auto" w:sz="4" w:space="0"/>
            </w:tcBorders>
            <w:noWrap w:val="0"/>
            <w:vAlign w:val="center"/>
          </w:tcPr>
          <w:p w14:paraId="6DA55EB1">
            <w:pPr>
              <w:spacing w:line="360" w:lineRule="auto"/>
              <w:rPr>
                <w:rFonts w:hint="default" w:asciiTheme="minorEastAsia" w:hAnsiTheme="minorEastAsia" w:cstheme="minorEastAsia"/>
                <w:b w:val="0"/>
                <w:bCs/>
                <w:color w:val="auto"/>
                <w:sz w:val="21"/>
                <w:szCs w:val="21"/>
                <w:lang w:val="en-US" w:eastAsia="zh-CN"/>
              </w:rPr>
            </w:pPr>
            <w:r>
              <w:rPr>
                <w:rFonts w:hint="eastAsia" w:asciiTheme="minorEastAsia" w:hAnsiTheme="minorEastAsia" w:cstheme="minorEastAsia"/>
                <w:color w:val="auto"/>
                <w:sz w:val="18"/>
                <w:szCs w:val="18"/>
                <w:lang w:val="en-US" w:eastAsia="zh-CN"/>
              </w:rPr>
              <w:t>商业用途</w:t>
            </w:r>
          </w:p>
        </w:tc>
      </w:tr>
      <w:tr w14:paraId="2008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988" w:type="pct"/>
            <w:vMerge w:val="continue"/>
            <w:tcBorders>
              <w:left w:val="single" w:color="auto" w:sz="4" w:space="0"/>
              <w:right w:val="single" w:color="auto" w:sz="4" w:space="0"/>
            </w:tcBorders>
            <w:noWrap w:val="0"/>
            <w:vAlign w:val="center"/>
          </w:tcPr>
          <w:p w14:paraId="3EDA2234">
            <w:pPr>
              <w:jc w:val="center"/>
              <w:rPr>
                <w:rFonts w:hint="eastAsia" w:asciiTheme="minorEastAsia" w:hAnsiTheme="minorEastAsia" w:cstheme="minorEastAsia"/>
                <w:b/>
                <w:bCs w:val="0"/>
                <w:color w:val="auto"/>
                <w:sz w:val="21"/>
                <w:szCs w:val="21"/>
                <w:lang w:val="en-US" w:eastAsia="zh-CN"/>
              </w:rPr>
            </w:pPr>
          </w:p>
        </w:tc>
        <w:tc>
          <w:tcPr>
            <w:tcW w:w="1151" w:type="pct"/>
            <w:tcBorders>
              <w:top w:val="single" w:color="auto" w:sz="4" w:space="0"/>
              <w:left w:val="single" w:color="auto" w:sz="4" w:space="0"/>
              <w:bottom w:val="single" w:color="auto" w:sz="4" w:space="0"/>
              <w:right w:val="single" w:color="auto" w:sz="4" w:space="0"/>
            </w:tcBorders>
            <w:noWrap w:val="0"/>
            <w:vAlign w:val="center"/>
          </w:tcPr>
          <w:p w14:paraId="6E3ED9E2">
            <w:pPr>
              <w:jc w:val="center"/>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目前用途</w:t>
            </w:r>
          </w:p>
        </w:tc>
        <w:tc>
          <w:tcPr>
            <w:tcW w:w="2860" w:type="pct"/>
            <w:tcBorders>
              <w:top w:val="single" w:color="auto" w:sz="4" w:space="0"/>
              <w:left w:val="single" w:color="auto" w:sz="4" w:space="0"/>
              <w:bottom w:val="single" w:color="auto" w:sz="4" w:space="0"/>
              <w:right w:val="single" w:color="auto" w:sz="4" w:space="0"/>
            </w:tcBorders>
            <w:noWrap w:val="0"/>
            <w:vAlign w:val="center"/>
          </w:tcPr>
          <w:p w14:paraId="6CAB230C">
            <w:pPr>
              <w:spacing w:line="360" w:lineRule="auto"/>
              <w:rPr>
                <w:rFonts w:hint="default" w:asciiTheme="minorEastAsia" w:hAnsiTheme="minorEastAsia" w:cstheme="minorEastAsia"/>
                <w:b w:val="0"/>
                <w:bCs/>
                <w:color w:val="auto"/>
                <w:sz w:val="21"/>
                <w:szCs w:val="21"/>
                <w:lang w:val="en-US" w:eastAsia="zh-CN"/>
              </w:rPr>
            </w:pPr>
            <w:r>
              <w:rPr>
                <w:rFonts w:hint="eastAsia" w:asciiTheme="minorEastAsia" w:hAnsiTheme="minorEastAsia" w:cstheme="minorEastAsia"/>
                <w:color w:val="auto"/>
                <w:sz w:val="18"/>
                <w:szCs w:val="18"/>
                <w:lang w:val="en-US" w:eastAsia="zh-CN"/>
              </w:rPr>
              <w:t>闲置，不可做污染行业</w:t>
            </w:r>
          </w:p>
        </w:tc>
      </w:tr>
      <w:tr w14:paraId="5175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988" w:type="pct"/>
            <w:vMerge w:val="continue"/>
            <w:tcBorders>
              <w:left w:val="single" w:color="auto" w:sz="4" w:space="0"/>
              <w:right w:val="single" w:color="auto" w:sz="4" w:space="0"/>
            </w:tcBorders>
            <w:noWrap w:val="0"/>
            <w:vAlign w:val="center"/>
          </w:tcPr>
          <w:p w14:paraId="15E49806">
            <w:pPr>
              <w:jc w:val="center"/>
              <w:rPr>
                <w:rFonts w:hint="eastAsia" w:asciiTheme="minorEastAsia" w:hAnsiTheme="minorEastAsia" w:cstheme="minorEastAsia"/>
                <w:b/>
                <w:bCs w:val="0"/>
                <w:color w:val="auto"/>
                <w:sz w:val="21"/>
                <w:szCs w:val="21"/>
                <w:lang w:val="en-US" w:eastAsia="zh-CN"/>
              </w:rPr>
            </w:pPr>
          </w:p>
        </w:tc>
        <w:tc>
          <w:tcPr>
            <w:tcW w:w="1151" w:type="pct"/>
            <w:tcBorders>
              <w:top w:val="single" w:color="auto" w:sz="4" w:space="0"/>
              <w:left w:val="single" w:color="auto" w:sz="4" w:space="0"/>
              <w:bottom w:val="single" w:color="auto" w:sz="4" w:space="0"/>
              <w:right w:val="single" w:color="auto" w:sz="4" w:space="0"/>
            </w:tcBorders>
            <w:noWrap w:val="0"/>
            <w:vAlign w:val="center"/>
          </w:tcPr>
          <w:p w14:paraId="4A6936A1">
            <w:pPr>
              <w:jc w:val="center"/>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资产详细情况</w:t>
            </w:r>
          </w:p>
        </w:tc>
        <w:tc>
          <w:tcPr>
            <w:tcW w:w="2860" w:type="pct"/>
            <w:tcBorders>
              <w:top w:val="single" w:color="auto" w:sz="4" w:space="0"/>
              <w:left w:val="single" w:color="auto" w:sz="4" w:space="0"/>
              <w:bottom w:val="single" w:color="auto" w:sz="4" w:space="0"/>
              <w:right w:val="single" w:color="auto" w:sz="4" w:space="0"/>
            </w:tcBorders>
            <w:noWrap w:val="0"/>
            <w:vAlign w:val="center"/>
          </w:tcPr>
          <w:p w14:paraId="6580B4F5">
            <w:pPr>
              <w:spacing w:line="360" w:lineRule="auto"/>
              <w:rPr>
                <w:rFonts w:hint="default" w:asciiTheme="minorEastAsia" w:hAnsiTheme="minorEastAsia" w:cstheme="minorEastAsia"/>
                <w:b w:val="0"/>
                <w:bCs/>
                <w:color w:val="auto"/>
                <w:sz w:val="21"/>
                <w:szCs w:val="21"/>
                <w:lang w:val="en-US" w:eastAsia="zh-CN"/>
              </w:rPr>
            </w:pPr>
            <w:r>
              <w:rPr>
                <w:rFonts w:hint="default" w:asciiTheme="minorEastAsia" w:hAnsiTheme="minorEastAsia" w:cstheme="minorEastAsia"/>
                <w:color w:val="auto"/>
                <w:sz w:val="18"/>
                <w:szCs w:val="18"/>
                <w:lang w:val="en-US" w:eastAsia="zh-CN"/>
              </w:rPr>
              <w:t>屯昌县屯城镇吉安小区B3-3106商铺</w:t>
            </w:r>
            <w:r>
              <w:rPr>
                <w:rFonts w:hint="eastAsia" w:asciiTheme="minorEastAsia" w:hAnsiTheme="minorEastAsia" w:cstheme="minorEastAsia"/>
                <w:color w:val="auto"/>
                <w:sz w:val="18"/>
                <w:szCs w:val="18"/>
                <w:lang w:val="en-US" w:eastAsia="zh-CN"/>
              </w:rPr>
              <w:t>，装修为毛坯</w:t>
            </w:r>
          </w:p>
        </w:tc>
      </w:tr>
      <w:tr w14:paraId="3EEC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988" w:type="pct"/>
            <w:vMerge w:val="continue"/>
            <w:tcBorders>
              <w:left w:val="single" w:color="auto" w:sz="4" w:space="0"/>
              <w:right w:val="single" w:color="auto" w:sz="4" w:space="0"/>
            </w:tcBorders>
            <w:noWrap w:val="0"/>
            <w:vAlign w:val="center"/>
          </w:tcPr>
          <w:p w14:paraId="0E71283D">
            <w:pPr>
              <w:jc w:val="center"/>
              <w:rPr>
                <w:rFonts w:hint="eastAsia" w:asciiTheme="minorEastAsia" w:hAnsiTheme="minorEastAsia" w:cstheme="minorEastAsia"/>
                <w:b/>
                <w:bCs w:val="0"/>
                <w:color w:val="auto"/>
                <w:sz w:val="21"/>
                <w:szCs w:val="21"/>
                <w:lang w:val="en-US" w:eastAsia="zh-CN"/>
              </w:rPr>
            </w:pPr>
          </w:p>
        </w:tc>
        <w:tc>
          <w:tcPr>
            <w:tcW w:w="1151" w:type="pct"/>
            <w:tcBorders>
              <w:top w:val="single" w:color="auto" w:sz="4" w:space="0"/>
              <w:left w:val="single" w:color="auto" w:sz="4" w:space="0"/>
              <w:bottom w:val="single" w:color="auto" w:sz="4" w:space="0"/>
              <w:right w:val="single" w:color="auto" w:sz="4" w:space="0"/>
            </w:tcBorders>
            <w:noWrap w:val="0"/>
            <w:vAlign w:val="center"/>
          </w:tcPr>
          <w:p w14:paraId="130DA8A1">
            <w:pPr>
              <w:jc w:val="center"/>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配套设施、周边环境等情况</w:t>
            </w:r>
          </w:p>
        </w:tc>
        <w:tc>
          <w:tcPr>
            <w:tcW w:w="2860" w:type="pct"/>
            <w:tcBorders>
              <w:top w:val="single" w:color="auto" w:sz="4" w:space="0"/>
              <w:left w:val="single" w:color="auto" w:sz="4" w:space="0"/>
              <w:bottom w:val="single" w:color="auto" w:sz="4" w:space="0"/>
              <w:right w:val="single" w:color="auto" w:sz="4" w:space="0"/>
            </w:tcBorders>
            <w:noWrap w:val="0"/>
            <w:vAlign w:val="center"/>
          </w:tcPr>
          <w:p w14:paraId="6EFBEBD1">
            <w:pPr>
              <w:spacing w:line="360" w:lineRule="auto"/>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val="0"/>
                <w:color w:val="auto"/>
                <w:sz w:val="18"/>
                <w:szCs w:val="18"/>
                <w:lang w:val="en-US" w:eastAsia="zh-CN"/>
              </w:rPr>
              <w:t>位于县城建成区，周边生活配套基础设施完善。</w:t>
            </w:r>
          </w:p>
        </w:tc>
      </w:tr>
      <w:tr w14:paraId="4713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988" w:type="pct"/>
            <w:vMerge w:val="continue"/>
            <w:tcBorders>
              <w:left w:val="single" w:color="auto" w:sz="4" w:space="0"/>
              <w:right w:val="single" w:color="auto" w:sz="4" w:space="0"/>
            </w:tcBorders>
            <w:noWrap w:val="0"/>
            <w:vAlign w:val="center"/>
          </w:tcPr>
          <w:p w14:paraId="38A2B1A1">
            <w:pPr>
              <w:jc w:val="center"/>
              <w:rPr>
                <w:rFonts w:hint="eastAsia" w:asciiTheme="minorEastAsia" w:hAnsiTheme="minorEastAsia" w:cstheme="minorEastAsia"/>
                <w:b/>
                <w:bCs w:val="0"/>
                <w:color w:val="auto"/>
                <w:sz w:val="21"/>
                <w:szCs w:val="21"/>
                <w:lang w:val="en-US" w:eastAsia="zh-CN"/>
              </w:rPr>
            </w:pPr>
          </w:p>
        </w:tc>
        <w:tc>
          <w:tcPr>
            <w:tcW w:w="1151" w:type="pct"/>
            <w:tcBorders>
              <w:top w:val="single" w:color="auto" w:sz="4" w:space="0"/>
              <w:left w:val="single" w:color="auto" w:sz="4" w:space="0"/>
              <w:bottom w:val="single" w:color="auto" w:sz="4" w:space="0"/>
              <w:right w:val="single" w:color="auto" w:sz="4" w:space="0"/>
            </w:tcBorders>
            <w:noWrap w:val="0"/>
            <w:vAlign w:val="center"/>
          </w:tcPr>
          <w:p w14:paraId="7569BE7B">
            <w:pPr>
              <w:jc w:val="center"/>
              <w:rPr>
                <w:rFonts w:hint="default"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是否设定原承租人优先权</w:t>
            </w:r>
          </w:p>
        </w:tc>
        <w:tc>
          <w:tcPr>
            <w:tcW w:w="2860" w:type="pct"/>
            <w:tcBorders>
              <w:top w:val="single" w:color="auto" w:sz="4" w:space="0"/>
              <w:left w:val="single" w:color="auto" w:sz="4" w:space="0"/>
              <w:bottom w:val="single" w:color="auto" w:sz="4" w:space="0"/>
              <w:right w:val="single" w:color="auto" w:sz="4" w:space="0"/>
            </w:tcBorders>
            <w:noWrap w:val="0"/>
            <w:vAlign w:val="center"/>
          </w:tcPr>
          <w:p w14:paraId="13B4065C">
            <w:pPr>
              <w:spacing w:line="360" w:lineRule="auto"/>
              <w:rPr>
                <w:rFonts w:hint="default" w:asciiTheme="minorEastAsia" w:hAnsiTheme="minorEastAsia" w:cstheme="minorEastAsia"/>
                <w:b w:val="0"/>
                <w:bCs w:val="0"/>
                <w:color w:val="auto"/>
                <w:sz w:val="18"/>
                <w:szCs w:val="18"/>
                <w:lang w:val="en-US" w:eastAsia="zh-CN"/>
              </w:rPr>
            </w:pPr>
            <w:r>
              <w:rPr>
                <w:rFonts w:hint="eastAsia" w:asciiTheme="minorEastAsia" w:hAnsiTheme="minorEastAsia" w:cstheme="minorEastAsia"/>
                <w:b w:val="0"/>
                <w:bCs w:val="0"/>
                <w:color w:val="auto"/>
                <w:sz w:val="18"/>
                <w:szCs w:val="18"/>
                <w:lang w:val="en-US" w:eastAsia="zh-CN"/>
              </w:rPr>
              <w:t>否</w:t>
            </w:r>
          </w:p>
        </w:tc>
      </w:tr>
      <w:tr w14:paraId="050B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988" w:type="pct"/>
            <w:vMerge w:val="continue"/>
            <w:tcBorders>
              <w:left w:val="single" w:color="auto" w:sz="4" w:space="0"/>
              <w:bottom w:val="single" w:color="auto" w:sz="4" w:space="0"/>
              <w:right w:val="single" w:color="auto" w:sz="4" w:space="0"/>
            </w:tcBorders>
            <w:noWrap w:val="0"/>
            <w:vAlign w:val="center"/>
          </w:tcPr>
          <w:p w14:paraId="09CE6F84">
            <w:pPr>
              <w:jc w:val="center"/>
              <w:rPr>
                <w:rFonts w:hint="eastAsia" w:asciiTheme="minorEastAsia" w:hAnsiTheme="minorEastAsia" w:cstheme="minorEastAsia"/>
                <w:b/>
                <w:bCs w:val="0"/>
                <w:color w:val="auto"/>
                <w:sz w:val="21"/>
                <w:szCs w:val="21"/>
                <w:lang w:val="en-US" w:eastAsia="zh-CN"/>
              </w:rPr>
            </w:pPr>
          </w:p>
        </w:tc>
        <w:tc>
          <w:tcPr>
            <w:tcW w:w="1151" w:type="pct"/>
            <w:tcBorders>
              <w:top w:val="single" w:color="auto" w:sz="4" w:space="0"/>
              <w:left w:val="single" w:color="auto" w:sz="4" w:space="0"/>
              <w:bottom w:val="single" w:color="auto" w:sz="4" w:space="0"/>
              <w:right w:val="single" w:color="auto" w:sz="4" w:space="0"/>
            </w:tcBorders>
            <w:noWrap w:val="0"/>
            <w:vAlign w:val="center"/>
          </w:tcPr>
          <w:p w14:paraId="160C84C3">
            <w:pPr>
              <w:jc w:val="center"/>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现场勘查联系方式</w:t>
            </w:r>
          </w:p>
        </w:tc>
        <w:tc>
          <w:tcPr>
            <w:tcW w:w="2860" w:type="pct"/>
            <w:tcBorders>
              <w:top w:val="single" w:color="auto" w:sz="4" w:space="0"/>
              <w:left w:val="single" w:color="auto" w:sz="4" w:space="0"/>
              <w:bottom w:val="single" w:color="auto" w:sz="4" w:space="0"/>
              <w:right w:val="single" w:color="auto" w:sz="4" w:space="0"/>
            </w:tcBorders>
            <w:noWrap w:val="0"/>
            <w:vAlign w:val="center"/>
          </w:tcPr>
          <w:p w14:paraId="144EA7C0">
            <w:pPr>
              <w:spacing w:line="360" w:lineRule="auto"/>
              <w:jc w:val="left"/>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吴先生   18889761120</w:t>
            </w:r>
          </w:p>
        </w:tc>
      </w:tr>
      <w:tr w14:paraId="7E3C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5" w:hRule="atLeast"/>
        </w:trPr>
        <w:tc>
          <w:tcPr>
            <w:tcW w:w="988" w:type="pct"/>
            <w:vMerge w:val="restart"/>
            <w:tcBorders>
              <w:top w:val="single" w:color="auto" w:sz="4" w:space="0"/>
              <w:left w:val="single" w:color="auto" w:sz="4" w:space="0"/>
              <w:right w:val="single" w:color="auto" w:sz="4" w:space="0"/>
            </w:tcBorders>
            <w:noWrap w:val="0"/>
            <w:vAlign w:val="center"/>
          </w:tcPr>
          <w:p w14:paraId="2BBD62D5">
            <w:pPr>
              <w:jc w:val="center"/>
              <w:rPr>
                <w:rFonts w:hint="eastAsia" w:asciiTheme="minorEastAsia" w:hAnsiTheme="minorEastAsia" w:cstheme="minorEastAsia"/>
                <w:b/>
                <w:bCs w:val="0"/>
                <w:color w:val="auto"/>
                <w:sz w:val="21"/>
                <w:szCs w:val="21"/>
                <w:lang w:val="en-US" w:eastAsia="zh-CN"/>
              </w:rPr>
            </w:pPr>
            <w:r>
              <w:rPr>
                <w:rFonts w:hint="eastAsia" w:asciiTheme="minorEastAsia" w:hAnsiTheme="minorEastAsia" w:cstheme="minorEastAsia"/>
                <w:b/>
                <w:bCs w:val="0"/>
                <w:color w:val="auto"/>
                <w:sz w:val="21"/>
                <w:szCs w:val="21"/>
                <w:lang w:val="en-US" w:eastAsia="zh-CN"/>
              </w:rPr>
              <w:t>评估情况</w:t>
            </w:r>
          </w:p>
        </w:tc>
        <w:tc>
          <w:tcPr>
            <w:tcW w:w="1151" w:type="pct"/>
            <w:tcBorders>
              <w:top w:val="single" w:color="auto" w:sz="4" w:space="0"/>
              <w:left w:val="single" w:color="auto" w:sz="4" w:space="0"/>
              <w:bottom w:val="single" w:color="auto" w:sz="4" w:space="0"/>
              <w:right w:val="single" w:color="auto" w:sz="4" w:space="0"/>
            </w:tcBorders>
            <w:noWrap w:val="0"/>
            <w:vAlign w:val="center"/>
          </w:tcPr>
          <w:p w14:paraId="713E0CBB">
            <w:pPr>
              <w:jc w:val="center"/>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评估价</w:t>
            </w:r>
          </w:p>
        </w:tc>
        <w:tc>
          <w:tcPr>
            <w:tcW w:w="2860" w:type="pct"/>
            <w:tcBorders>
              <w:top w:val="single" w:color="auto" w:sz="4" w:space="0"/>
              <w:left w:val="single" w:color="auto" w:sz="4" w:space="0"/>
              <w:bottom w:val="single" w:color="auto" w:sz="4" w:space="0"/>
              <w:right w:val="single" w:color="auto" w:sz="4" w:space="0"/>
            </w:tcBorders>
            <w:noWrap w:val="0"/>
            <w:vAlign w:val="center"/>
          </w:tcPr>
          <w:p w14:paraId="0401348A">
            <w:pPr>
              <w:spacing w:line="360" w:lineRule="auto"/>
              <w:jc w:val="both"/>
              <w:rPr>
                <w:rFonts w:hint="default" w:asciiTheme="minorEastAsia" w:hAnsiTheme="minorEastAsia" w:cstheme="minorEastAsia"/>
                <w:b w:val="0"/>
                <w:bCs/>
                <w:color w:val="auto"/>
                <w:sz w:val="21"/>
                <w:szCs w:val="21"/>
                <w:lang w:val="en-US" w:eastAsia="zh-CN"/>
              </w:rPr>
            </w:pPr>
            <w:r>
              <w:rPr>
                <w:rFonts w:hint="eastAsia" w:asciiTheme="minorEastAsia" w:hAnsiTheme="minorEastAsia" w:cstheme="minorEastAsia"/>
                <w:color w:val="auto"/>
                <w:sz w:val="18"/>
                <w:szCs w:val="18"/>
                <w:lang w:val="en-US" w:eastAsia="zh-CN"/>
              </w:rPr>
              <w:t>31368元/年</w:t>
            </w:r>
          </w:p>
        </w:tc>
      </w:tr>
      <w:tr w14:paraId="13607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trPr>
        <w:tc>
          <w:tcPr>
            <w:tcW w:w="988" w:type="pct"/>
            <w:vMerge w:val="continue"/>
            <w:tcBorders>
              <w:left w:val="single" w:color="auto" w:sz="4" w:space="0"/>
              <w:right w:val="single" w:color="auto" w:sz="4" w:space="0"/>
            </w:tcBorders>
            <w:noWrap w:val="0"/>
            <w:vAlign w:val="center"/>
          </w:tcPr>
          <w:p w14:paraId="00A57308">
            <w:pPr>
              <w:jc w:val="center"/>
              <w:rPr>
                <w:rFonts w:hint="eastAsia" w:asciiTheme="minorEastAsia" w:hAnsiTheme="minorEastAsia" w:cstheme="minorEastAsia"/>
                <w:b/>
                <w:bCs w:val="0"/>
                <w:color w:val="auto"/>
                <w:sz w:val="21"/>
                <w:szCs w:val="21"/>
                <w:lang w:val="en-US" w:eastAsia="zh-CN"/>
              </w:rPr>
            </w:pPr>
          </w:p>
        </w:tc>
        <w:tc>
          <w:tcPr>
            <w:tcW w:w="1151" w:type="pct"/>
            <w:tcBorders>
              <w:top w:val="single" w:color="auto" w:sz="4" w:space="0"/>
              <w:left w:val="single" w:color="auto" w:sz="4" w:space="0"/>
              <w:bottom w:val="single" w:color="auto" w:sz="4" w:space="0"/>
              <w:right w:val="single" w:color="auto" w:sz="4" w:space="0"/>
            </w:tcBorders>
            <w:noWrap w:val="0"/>
            <w:vAlign w:val="center"/>
          </w:tcPr>
          <w:p w14:paraId="26133762">
            <w:pPr>
              <w:jc w:val="center"/>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评估基准日</w:t>
            </w:r>
          </w:p>
        </w:tc>
        <w:tc>
          <w:tcPr>
            <w:tcW w:w="2860" w:type="pct"/>
            <w:tcBorders>
              <w:top w:val="single" w:color="auto" w:sz="4" w:space="0"/>
              <w:left w:val="single" w:color="auto" w:sz="4" w:space="0"/>
              <w:bottom w:val="single" w:color="auto" w:sz="4" w:space="0"/>
              <w:right w:val="single" w:color="auto" w:sz="4" w:space="0"/>
            </w:tcBorders>
            <w:noWrap w:val="0"/>
            <w:vAlign w:val="center"/>
          </w:tcPr>
          <w:p w14:paraId="6B853BF9">
            <w:pPr>
              <w:spacing w:line="360" w:lineRule="auto"/>
              <w:jc w:val="both"/>
              <w:rPr>
                <w:rFonts w:hint="default"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2026年6月2日</w:t>
            </w:r>
          </w:p>
        </w:tc>
      </w:tr>
      <w:tr w14:paraId="51C5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988" w:type="pct"/>
            <w:vMerge w:val="continue"/>
            <w:tcBorders>
              <w:left w:val="single" w:color="auto" w:sz="4" w:space="0"/>
              <w:bottom w:val="single" w:color="auto" w:sz="4" w:space="0"/>
              <w:right w:val="single" w:color="auto" w:sz="4" w:space="0"/>
            </w:tcBorders>
            <w:noWrap w:val="0"/>
            <w:vAlign w:val="center"/>
          </w:tcPr>
          <w:p w14:paraId="5583ACF8">
            <w:pPr>
              <w:jc w:val="center"/>
              <w:rPr>
                <w:rFonts w:hint="eastAsia" w:asciiTheme="minorEastAsia" w:hAnsiTheme="minorEastAsia" w:cstheme="minorEastAsia"/>
                <w:b/>
                <w:bCs w:val="0"/>
                <w:color w:val="auto"/>
                <w:sz w:val="21"/>
                <w:szCs w:val="21"/>
                <w:lang w:val="en-US" w:eastAsia="zh-CN"/>
              </w:rPr>
            </w:pPr>
          </w:p>
        </w:tc>
        <w:tc>
          <w:tcPr>
            <w:tcW w:w="1151" w:type="pct"/>
            <w:tcBorders>
              <w:top w:val="single" w:color="auto" w:sz="4" w:space="0"/>
              <w:left w:val="single" w:color="auto" w:sz="4" w:space="0"/>
              <w:bottom w:val="single" w:color="auto" w:sz="4" w:space="0"/>
              <w:right w:val="single" w:color="auto" w:sz="4" w:space="0"/>
            </w:tcBorders>
            <w:noWrap w:val="0"/>
            <w:vAlign w:val="center"/>
          </w:tcPr>
          <w:p w14:paraId="181A3C58">
            <w:pPr>
              <w:jc w:val="center"/>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b w:val="0"/>
                <w:bCs/>
                <w:color w:val="auto"/>
                <w:sz w:val="21"/>
                <w:szCs w:val="21"/>
                <w:lang w:val="en-US" w:eastAsia="zh-CN"/>
              </w:rPr>
              <w:t>评估机构</w:t>
            </w:r>
          </w:p>
        </w:tc>
        <w:tc>
          <w:tcPr>
            <w:tcW w:w="2860" w:type="pct"/>
            <w:tcBorders>
              <w:top w:val="single" w:color="auto" w:sz="4" w:space="0"/>
              <w:left w:val="single" w:color="auto" w:sz="4" w:space="0"/>
              <w:bottom w:val="single" w:color="auto" w:sz="4" w:space="0"/>
              <w:right w:val="single" w:color="auto" w:sz="4" w:space="0"/>
            </w:tcBorders>
            <w:noWrap w:val="0"/>
            <w:vAlign w:val="center"/>
          </w:tcPr>
          <w:p w14:paraId="41444CB1">
            <w:pPr>
              <w:spacing w:line="360" w:lineRule="auto"/>
              <w:jc w:val="both"/>
              <w:rPr>
                <w:rFonts w:hint="default" w:asciiTheme="minorEastAsia" w:hAnsiTheme="minorEastAsia" w:cstheme="minorEastAsia"/>
                <w:b w:val="0"/>
                <w:bCs/>
                <w:color w:val="auto"/>
                <w:sz w:val="21"/>
                <w:szCs w:val="21"/>
                <w:lang w:val="en-US" w:eastAsia="zh-CN"/>
              </w:rPr>
            </w:pPr>
            <w:r>
              <w:rPr>
                <w:rFonts w:hint="eastAsia" w:asciiTheme="minorEastAsia" w:hAnsiTheme="minorEastAsia" w:cstheme="minorEastAsia"/>
                <w:bCs/>
                <w:color w:val="auto"/>
                <w:sz w:val="18"/>
                <w:szCs w:val="18"/>
                <w:lang w:val="en-US" w:eastAsia="zh-CN"/>
              </w:rPr>
              <w:t>海南睿泽土地房地产资产评估测绘科技有限公司</w:t>
            </w:r>
          </w:p>
        </w:tc>
      </w:tr>
      <w:tr w14:paraId="7BB9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3" w:hRule="atLeast"/>
        </w:trPr>
        <w:tc>
          <w:tcPr>
            <w:tcW w:w="988" w:type="pct"/>
            <w:tcBorders>
              <w:top w:val="single" w:color="auto" w:sz="4" w:space="0"/>
              <w:left w:val="single" w:color="auto" w:sz="4" w:space="0"/>
              <w:bottom w:val="single" w:color="auto" w:sz="4" w:space="0"/>
              <w:right w:val="single" w:color="auto" w:sz="4" w:space="0"/>
            </w:tcBorders>
            <w:noWrap w:val="0"/>
            <w:vAlign w:val="center"/>
          </w:tcPr>
          <w:p w14:paraId="30C2F6DD">
            <w:pPr>
              <w:jc w:val="center"/>
              <w:rPr>
                <w:rFonts w:hint="eastAsia" w:asciiTheme="minorEastAsia" w:hAnsiTheme="minorEastAsia" w:cstheme="minorEastAsia"/>
                <w:b/>
                <w:bCs w:val="0"/>
                <w:color w:val="auto"/>
                <w:sz w:val="21"/>
                <w:szCs w:val="21"/>
                <w:lang w:val="en-US" w:eastAsia="zh-CN"/>
              </w:rPr>
            </w:pPr>
            <w:r>
              <w:rPr>
                <w:rFonts w:hint="eastAsia" w:asciiTheme="minorEastAsia" w:hAnsiTheme="minorEastAsia" w:cstheme="minorEastAsia"/>
                <w:b/>
                <w:bCs w:val="0"/>
                <w:color w:val="auto"/>
                <w:sz w:val="21"/>
                <w:szCs w:val="21"/>
                <w:lang w:val="en-US" w:eastAsia="zh-CN"/>
              </w:rPr>
              <w:t>交易底价</w:t>
            </w:r>
          </w:p>
        </w:tc>
        <w:tc>
          <w:tcPr>
            <w:tcW w:w="4011" w:type="pct"/>
            <w:gridSpan w:val="2"/>
            <w:tcBorders>
              <w:top w:val="single" w:color="auto" w:sz="4" w:space="0"/>
              <w:left w:val="single" w:color="auto" w:sz="4" w:space="0"/>
              <w:bottom w:val="single" w:color="auto" w:sz="4" w:space="0"/>
              <w:right w:val="single" w:color="auto" w:sz="4" w:space="0"/>
            </w:tcBorders>
            <w:noWrap w:val="0"/>
            <w:vAlign w:val="center"/>
          </w:tcPr>
          <w:p w14:paraId="47D82493">
            <w:pPr>
              <w:jc w:val="center"/>
              <w:rPr>
                <w:rFonts w:hint="eastAsia" w:asciiTheme="minorEastAsia" w:hAnsiTheme="minorEastAsia" w:cstheme="minorEastAsia"/>
                <w:b w:val="0"/>
                <w:bCs/>
                <w:color w:val="auto"/>
                <w:sz w:val="21"/>
                <w:szCs w:val="21"/>
                <w:lang w:val="en-US" w:eastAsia="zh-CN"/>
              </w:rPr>
            </w:pPr>
            <w:r>
              <w:rPr>
                <w:rFonts w:hint="eastAsia" w:asciiTheme="minorEastAsia" w:hAnsiTheme="minorEastAsia" w:cstheme="minorEastAsia"/>
                <w:color w:val="auto"/>
                <w:sz w:val="18"/>
                <w:szCs w:val="18"/>
                <w:lang w:val="en-US" w:eastAsia="zh-CN"/>
              </w:rPr>
              <w:t>31368元/年</w:t>
            </w:r>
          </w:p>
        </w:tc>
      </w:tr>
      <w:tr w14:paraId="6575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3" w:hRule="atLeast"/>
        </w:trPr>
        <w:tc>
          <w:tcPr>
            <w:tcW w:w="988" w:type="pct"/>
            <w:tcBorders>
              <w:top w:val="single" w:color="auto" w:sz="4" w:space="0"/>
              <w:left w:val="single" w:color="auto" w:sz="4" w:space="0"/>
              <w:bottom w:val="single" w:color="auto" w:sz="4" w:space="0"/>
              <w:right w:val="single" w:color="auto" w:sz="4" w:space="0"/>
            </w:tcBorders>
            <w:noWrap w:val="0"/>
            <w:vAlign w:val="center"/>
          </w:tcPr>
          <w:p w14:paraId="3E6EF758">
            <w:pPr>
              <w:jc w:val="center"/>
              <w:rPr>
                <w:rFonts w:hint="eastAsia" w:asciiTheme="minorEastAsia" w:hAnsiTheme="minorEastAsia" w:cstheme="minorEastAsia"/>
                <w:b/>
                <w:bCs w:val="0"/>
                <w:color w:val="auto"/>
                <w:sz w:val="21"/>
                <w:szCs w:val="21"/>
                <w:lang w:val="en-US" w:eastAsia="zh-CN"/>
              </w:rPr>
            </w:pPr>
            <w:r>
              <w:rPr>
                <w:rFonts w:hint="eastAsia" w:asciiTheme="minorEastAsia" w:hAnsiTheme="minorEastAsia" w:cstheme="minorEastAsia"/>
                <w:b/>
                <w:bCs w:val="0"/>
                <w:color w:val="auto"/>
                <w:sz w:val="21"/>
                <w:szCs w:val="21"/>
                <w:lang w:val="en-US" w:eastAsia="zh-CN"/>
              </w:rPr>
              <w:t>交易价款</w:t>
            </w:r>
          </w:p>
          <w:p w14:paraId="79B88635">
            <w:pPr>
              <w:jc w:val="center"/>
              <w:rPr>
                <w:rFonts w:hint="eastAsia" w:asciiTheme="minorEastAsia" w:hAnsiTheme="minorEastAsia" w:cstheme="minorEastAsia"/>
                <w:b/>
                <w:bCs w:val="0"/>
                <w:color w:val="auto"/>
                <w:sz w:val="21"/>
                <w:szCs w:val="21"/>
                <w:lang w:val="en-US" w:eastAsia="zh-CN"/>
              </w:rPr>
            </w:pPr>
            <w:r>
              <w:rPr>
                <w:rFonts w:hint="eastAsia" w:asciiTheme="minorEastAsia" w:hAnsiTheme="minorEastAsia" w:cstheme="minorEastAsia"/>
                <w:b/>
                <w:bCs w:val="0"/>
                <w:color w:val="auto"/>
                <w:sz w:val="21"/>
                <w:szCs w:val="21"/>
                <w:lang w:val="en-US" w:eastAsia="zh-CN"/>
              </w:rPr>
              <w:t>付款方式</w:t>
            </w:r>
          </w:p>
        </w:tc>
        <w:tc>
          <w:tcPr>
            <w:tcW w:w="4011" w:type="pct"/>
            <w:gridSpan w:val="2"/>
            <w:tcBorders>
              <w:top w:val="single" w:color="auto" w:sz="4" w:space="0"/>
              <w:left w:val="single" w:color="auto" w:sz="4" w:space="0"/>
              <w:bottom w:val="single" w:color="auto" w:sz="4" w:space="0"/>
              <w:right w:val="single" w:color="auto" w:sz="4" w:space="0"/>
            </w:tcBorders>
            <w:noWrap w:val="0"/>
            <w:vAlign w:val="center"/>
          </w:tcPr>
          <w:p w14:paraId="3D0E42DB">
            <w:pPr>
              <w:spacing w:line="360" w:lineRule="auto"/>
              <w:rPr>
                <w:rFonts w:hint="eastAsia" w:asciiTheme="minorEastAsia" w:hAnsiTheme="minorEastAsia" w:eastAsiaTheme="minorEastAsia" w:cstheme="minorEastAsia"/>
                <w:color w:val="auto"/>
                <w:sz w:val="18"/>
                <w:szCs w:val="18"/>
              </w:rPr>
            </w:pPr>
            <w:r>
              <w:rPr>
                <w:rFonts w:hint="eastAsia" w:asciiTheme="minorEastAsia" w:hAnsiTheme="minorEastAsia" w:cstheme="minorEastAsia"/>
                <w:color w:val="auto"/>
                <w:sz w:val="18"/>
                <w:szCs w:val="18"/>
                <w:lang w:val="en-US" w:eastAsia="zh-CN"/>
              </w:rPr>
              <w:t>披露租金支付方式、押金等相关要求和条件。</w:t>
            </w:r>
          </w:p>
          <w:p w14:paraId="77AC2584">
            <w:pPr>
              <w:pStyle w:val="36"/>
              <w:jc w:val="left"/>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一次性支付，全部交易价款进场结算。</w:t>
            </w:r>
          </w:p>
          <w:p w14:paraId="3A7F53DB">
            <w:pPr>
              <w:pStyle w:val="36"/>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按年支付，一年一付</w:t>
            </w:r>
            <w:r>
              <w:rPr>
                <w:rFonts w:hint="eastAsia" w:ascii="宋体" w:hAnsi="宋体" w:eastAsia="宋体" w:cs="宋体"/>
                <w:color w:val="auto"/>
                <w:sz w:val="21"/>
                <w:szCs w:val="21"/>
                <w:lang w:eastAsia="zh-CN"/>
              </w:rPr>
              <w:t>。</w:t>
            </w:r>
          </w:p>
          <w:p w14:paraId="2299DA7B">
            <w:pPr>
              <w:pStyle w:val="36"/>
              <w:jc w:val="left"/>
              <w:rPr>
                <w:rFonts w:hint="default" w:ascii="宋体" w:hAnsi="宋体" w:eastAsia="宋体" w:cs="宋体"/>
                <w:color w:val="auto"/>
                <w:sz w:val="21"/>
                <w:szCs w:val="21"/>
                <w:lang w:val="en-US"/>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需缴纳</w:t>
            </w:r>
            <w:r>
              <w:rPr>
                <w:rFonts w:hint="eastAsia" w:ascii="宋体" w:hAnsi="宋体" w:eastAsia="宋体" w:cs="宋体"/>
                <w:color w:val="auto"/>
                <w:sz w:val="21"/>
                <w:szCs w:val="21"/>
                <w:u w:val="single"/>
                <w:lang w:val="en-US" w:eastAsia="zh-CN"/>
              </w:rPr>
              <w:t xml:space="preserve">   5000元   </w:t>
            </w:r>
            <w:r>
              <w:rPr>
                <w:rFonts w:hint="eastAsia" w:ascii="宋体" w:hAnsi="宋体" w:eastAsia="宋体" w:cs="宋体"/>
                <w:color w:val="auto"/>
                <w:sz w:val="21"/>
                <w:szCs w:val="21"/>
                <w:lang w:val="en-US" w:eastAsia="zh-CN"/>
              </w:rPr>
              <w:t>押金。及退还方式</w:t>
            </w:r>
            <w:r>
              <w:rPr>
                <w:rFonts w:hint="eastAsia" w:ascii="宋体" w:hAnsi="宋体" w:eastAsia="宋体" w:cs="宋体"/>
                <w:color w:val="auto"/>
                <w:sz w:val="21"/>
                <w:szCs w:val="21"/>
                <w:u w:val="single"/>
                <w:lang w:val="en-US" w:eastAsia="zh-CN"/>
              </w:rPr>
              <w:t xml:space="preserve"> 合同期满后不欠缴相关费用，原路退还。        </w:t>
            </w:r>
            <w:r>
              <w:rPr>
                <w:rFonts w:hint="eastAsia" w:ascii="宋体" w:hAnsi="宋体" w:eastAsia="宋体" w:cs="宋体"/>
                <w:color w:val="auto"/>
                <w:sz w:val="21"/>
                <w:szCs w:val="21"/>
                <w:lang w:val="en-US" w:eastAsia="zh-CN"/>
              </w:rPr>
              <w:t xml:space="preserve">         </w:t>
            </w:r>
          </w:p>
          <w:p w14:paraId="3BBF67C7">
            <w:pPr>
              <w:jc w:val="left"/>
              <w:rPr>
                <w:rFonts w:hint="default" w:asciiTheme="minorEastAsia" w:hAnsiTheme="minorEastAsia" w:cstheme="minorEastAsia"/>
                <w:b w:val="0"/>
                <w:bCs/>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kern w:val="2"/>
                <w:sz w:val="21"/>
                <w:szCs w:val="21"/>
                <w:lang w:val="en-US" w:eastAsia="zh-CN" w:bidi="ar-SA"/>
              </w:rPr>
              <w:t xml:space="preserve">其他支付方式： </w:t>
            </w:r>
            <w:r>
              <w:rPr>
                <w:rFonts w:hint="eastAsia" w:ascii="宋体" w:hAnsi="宋体" w:eastAsia="宋体" w:cs="宋体"/>
                <w:color w:val="auto"/>
                <w:sz w:val="21"/>
                <w:szCs w:val="21"/>
                <w:u w:val="single"/>
                <w:lang w:val="en-US" w:eastAsia="zh-CN"/>
              </w:rPr>
              <w:t xml:space="preserve">               </w:t>
            </w:r>
          </w:p>
        </w:tc>
      </w:tr>
      <w:tr w14:paraId="48FA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88" w:type="pct"/>
            <w:tcBorders>
              <w:left w:val="single" w:color="auto" w:sz="4" w:space="0"/>
              <w:right w:val="single" w:color="auto" w:sz="4" w:space="0"/>
            </w:tcBorders>
            <w:noWrap w:val="0"/>
            <w:vAlign w:val="center"/>
          </w:tcPr>
          <w:p w14:paraId="1A0B8427">
            <w:pPr>
              <w:jc w:val="center"/>
              <w:rPr>
                <w:rFonts w:hint="default" w:asciiTheme="minorEastAsia" w:hAnsiTheme="minorEastAsia" w:cstheme="minorEastAsia"/>
                <w:b/>
                <w:bCs w:val="0"/>
                <w:color w:val="auto"/>
                <w:sz w:val="21"/>
                <w:szCs w:val="21"/>
                <w:lang w:val="en-US" w:eastAsia="zh-CN"/>
              </w:rPr>
            </w:pPr>
            <w:r>
              <w:rPr>
                <w:rFonts w:hint="eastAsia" w:asciiTheme="minorEastAsia" w:hAnsiTheme="minorEastAsia" w:cstheme="minorEastAsia"/>
                <w:b/>
                <w:bCs w:val="0"/>
                <w:color w:val="auto"/>
                <w:sz w:val="21"/>
                <w:szCs w:val="21"/>
                <w:lang w:val="en-US" w:eastAsia="zh-CN"/>
              </w:rPr>
              <w:t>交易保证金</w:t>
            </w:r>
          </w:p>
        </w:tc>
        <w:tc>
          <w:tcPr>
            <w:tcW w:w="4011" w:type="pct"/>
            <w:gridSpan w:val="2"/>
            <w:tcBorders>
              <w:top w:val="single" w:color="auto" w:sz="4" w:space="0"/>
              <w:left w:val="single" w:color="auto" w:sz="4" w:space="0"/>
              <w:bottom w:val="single" w:color="auto" w:sz="4" w:space="0"/>
              <w:right w:val="single" w:color="auto" w:sz="4" w:space="0"/>
            </w:tcBorders>
            <w:noWrap w:val="0"/>
            <w:vAlign w:val="center"/>
          </w:tcPr>
          <w:p w14:paraId="39F60CF6">
            <w:pPr>
              <w:pStyle w:val="36"/>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交易保证金：31368元 （至少大于流转底价的20% 申请方可适当提高）</w:t>
            </w:r>
          </w:p>
        </w:tc>
      </w:tr>
      <w:tr w14:paraId="3A1D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5" w:hRule="atLeast"/>
        </w:trPr>
        <w:tc>
          <w:tcPr>
            <w:tcW w:w="1684" w:type="dxa"/>
            <w:tcBorders>
              <w:top w:val="single" w:color="auto" w:sz="4" w:space="0"/>
              <w:left w:val="single" w:color="auto" w:sz="4" w:space="0"/>
              <w:bottom w:val="single" w:color="auto" w:sz="4" w:space="0"/>
              <w:right w:val="single" w:color="auto" w:sz="4" w:space="0"/>
            </w:tcBorders>
            <w:noWrap w:val="0"/>
            <w:vAlign w:val="center"/>
          </w:tcPr>
          <w:p w14:paraId="20DB826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heme="minorEastAsia" w:hAnsiTheme="minorEastAsia" w:cstheme="minorEastAsia"/>
                <w:b/>
                <w:bCs w:val="0"/>
                <w:color w:val="auto"/>
                <w:sz w:val="21"/>
                <w:szCs w:val="21"/>
                <w:lang w:val="en-US" w:eastAsia="zh-CN"/>
              </w:rPr>
            </w:pPr>
            <w:r>
              <w:rPr>
                <w:rFonts w:hint="eastAsia"/>
                <w:b/>
                <w:bCs/>
                <w:color w:val="auto"/>
                <w:sz w:val="18"/>
                <w:szCs w:val="18"/>
                <w:lang w:val="en-US" w:eastAsia="zh-CN"/>
              </w:rPr>
              <w:t>出租方对承租方的要求和相关条件</w:t>
            </w:r>
          </w:p>
        </w:tc>
        <w:tc>
          <w:tcPr>
            <w:tcW w:w="6838" w:type="dxa"/>
            <w:gridSpan w:val="2"/>
            <w:tcBorders>
              <w:top w:val="single" w:color="auto" w:sz="4" w:space="0"/>
              <w:left w:val="single" w:color="auto" w:sz="4" w:space="0"/>
              <w:bottom w:val="single" w:color="auto" w:sz="4" w:space="0"/>
              <w:right w:val="single" w:color="auto" w:sz="4" w:space="0"/>
            </w:tcBorders>
            <w:noWrap w:val="0"/>
            <w:vAlign w:val="center"/>
          </w:tcPr>
          <w:p w14:paraId="7048518F">
            <w:pPr>
              <w:widowControl w:val="0"/>
              <w:numPr>
                <w:ilvl w:val="0"/>
                <w:numId w:val="1"/>
              </w:numPr>
              <w:spacing w:line="320" w:lineRule="exact"/>
              <w:ind w:left="0" w:leftChars="0"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意向承租方须为在中国境内依法注册并存续的法人、非法人组织或具备完全民事行为能力的自然人，不接受联合体报名。</w:t>
            </w:r>
          </w:p>
          <w:p w14:paraId="000AAB48">
            <w:pPr>
              <w:widowControl w:val="0"/>
              <w:numPr>
                <w:ilvl w:val="0"/>
                <w:numId w:val="1"/>
              </w:numPr>
              <w:spacing w:line="320" w:lineRule="exact"/>
              <w:ind w:left="0" w:leftChars="0"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对意向承租方为征信黑名单的不接受报名。</w:t>
            </w:r>
          </w:p>
          <w:p w14:paraId="2F6B528B">
            <w:pPr>
              <w:widowControl w:val="0"/>
              <w:numPr>
                <w:ilvl w:val="0"/>
                <w:numId w:val="1"/>
              </w:numPr>
              <w:spacing w:line="320" w:lineRule="exact"/>
              <w:ind w:left="0" w:leftChars="0"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意向承租方在竞拍申请前，应仔细阅读本平台交易规则及标的信息，并全面了解交易资格条件及相关政策法规，正确判断自己是否具有承租资格。因不具备资格参加竞拍的，由意向承租方自行承担相应的法律责任及切后果，包括但不限于费用、风险和损失。一旦提交竟买报名，即视为其已完全了解标的物的相关情况、认可标的交易公告及附件的全部内容、对标的现状无异议、同意遵守平台有关交易规则和交易须知。</w:t>
            </w:r>
          </w:p>
          <w:p w14:paraId="0C0C85EB">
            <w:pPr>
              <w:widowControl w:val="0"/>
              <w:numPr>
                <w:ilvl w:val="0"/>
                <w:numId w:val="1"/>
              </w:numPr>
              <w:spacing w:line="320" w:lineRule="exact"/>
              <w:ind w:left="0" w:leftChars="0"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承租方在竞得后因自身原因未能成功签约的，所缴纳的交易保证金将作为违约金扣除，在平台扣除交易服务费用和相关费用后，剩余部分作为补偿划归出租方，出租方及其相关方保留继续向意向承租方主张相应的赔偿责任。</w:t>
            </w:r>
          </w:p>
          <w:p w14:paraId="3D806FCF">
            <w:pPr>
              <w:widowControl w:val="0"/>
              <w:numPr>
                <w:ilvl w:val="0"/>
                <w:numId w:val="1"/>
              </w:numPr>
              <w:spacing w:line="320" w:lineRule="exact"/>
              <w:ind w:left="0" w:leftChars="0"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租金以一年为一周期进行付款,合同签订后10日内,承租方应向出租方缴纳1年合约租金</w:t>
            </w:r>
            <w:r>
              <w:rPr>
                <w:rFonts w:hint="eastAsia" w:asciiTheme="minorEastAsia" w:hAnsiTheme="minorEastAsia" w:cstheme="minorEastAsia"/>
                <w:color w:val="auto"/>
                <w:sz w:val="21"/>
                <w:szCs w:val="21"/>
                <w:highlight w:val="none"/>
                <w:lang w:val="en-US" w:eastAsia="zh-CN"/>
              </w:rPr>
              <w:t>及合同履约金5000元</w:t>
            </w:r>
            <w:r>
              <w:rPr>
                <w:rFonts w:hint="eastAsia" w:asciiTheme="minorEastAsia" w:hAnsiTheme="minorEastAsia" w:eastAsiaTheme="minorEastAsia" w:cstheme="minorEastAsia"/>
                <w:color w:val="auto"/>
                <w:sz w:val="21"/>
                <w:szCs w:val="21"/>
                <w:highlight w:val="none"/>
              </w:rPr>
              <w:t>。</w:t>
            </w:r>
          </w:p>
          <w:p w14:paraId="4349F6CD">
            <w:pPr>
              <w:widowControl w:val="0"/>
              <w:numPr>
                <w:ilvl w:val="0"/>
                <w:numId w:val="1"/>
              </w:numPr>
              <w:spacing w:line="320" w:lineRule="exact"/>
              <w:ind w:left="0" w:leftChars="0" w:firstLine="0" w:firstLineChars="0"/>
              <w:jc w:val="both"/>
              <w:rPr>
                <w:rFonts w:hint="eastAsia"/>
                <w:color w:val="auto"/>
                <w:lang w:val="en-US" w:eastAsia="zh-CN"/>
              </w:rPr>
            </w:pPr>
            <w:r>
              <w:rPr>
                <w:rFonts w:hint="eastAsia" w:asciiTheme="minorEastAsia" w:hAnsiTheme="minorEastAsia" w:eastAsiaTheme="minorEastAsia" w:cstheme="minorEastAsia"/>
                <w:color w:val="auto"/>
                <w:sz w:val="21"/>
                <w:szCs w:val="21"/>
                <w:highlight w:val="none"/>
              </w:rPr>
              <w:t>租赁期满后不欠缴相关费用，如水电费等其它费用。</w:t>
            </w:r>
          </w:p>
        </w:tc>
      </w:tr>
      <w:tr w14:paraId="287C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1" w:hRule="atLeast"/>
        </w:trPr>
        <w:tc>
          <w:tcPr>
            <w:tcW w:w="988" w:type="pct"/>
            <w:tcBorders>
              <w:left w:val="single" w:color="auto" w:sz="4" w:space="0"/>
              <w:bottom w:val="single" w:color="auto" w:sz="4" w:space="0"/>
              <w:right w:val="single" w:color="auto" w:sz="4" w:space="0"/>
            </w:tcBorders>
            <w:noWrap w:val="0"/>
            <w:vAlign w:val="center"/>
          </w:tcPr>
          <w:p w14:paraId="110B74C5">
            <w:pPr>
              <w:jc w:val="center"/>
              <w:rPr>
                <w:rFonts w:hint="eastAsia" w:asciiTheme="minorEastAsia" w:hAnsiTheme="minorEastAsia" w:cstheme="minorEastAsia"/>
                <w:b/>
                <w:bCs w:val="0"/>
                <w:color w:val="auto"/>
                <w:sz w:val="21"/>
                <w:szCs w:val="21"/>
                <w:lang w:val="en-US" w:eastAsia="zh-CN"/>
              </w:rPr>
            </w:pPr>
            <w:r>
              <w:rPr>
                <w:rFonts w:hint="eastAsia" w:asciiTheme="minorEastAsia" w:hAnsiTheme="minorEastAsia" w:cstheme="minorEastAsia"/>
                <w:b/>
                <w:bCs w:val="0"/>
                <w:color w:val="auto"/>
                <w:sz w:val="21"/>
                <w:szCs w:val="21"/>
                <w:lang w:val="en-US" w:eastAsia="zh-CN"/>
              </w:rPr>
              <w:t>重要信息揭示</w:t>
            </w:r>
          </w:p>
        </w:tc>
        <w:tc>
          <w:tcPr>
            <w:tcW w:w="4011" w:type="pct"/>
            <w:gridSpan w:val="2"/>
            <w:tcBorders>
              <w:top w:val="single" w:color="auto" w:sz="4" w:space="0"/>
              <w:left w:val="single" w:color="auto" w:sz="4" w:space="0"/>
              <w:bottom w:val="single" w:color="auto" w:sz="4" w:space="0"/>
              <w:right w:val="single" w:color="auto" w:sz="4" w:space="0"/>
            </w:tcBorders>
            <w:noWrap w:val="0"/>
            <w:vAlign w:val="top"/>
          </w:tcPr>
          <w:p w14:paraId="06ECB4B6">
            <w:pPr>
              <w:numPr>
                <w:ilvl w:val="0"/>
                <w:numId w:val="2"/>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承租方经营期间必须严格执行国家有关法律法规，加强安全生产管理，承担安全生产责任，与出租方订租赁安全管理责任协议书。凡非房产建筑结构原因造成的一切安全生产事故责任均由承租方自行承担，与出租方无关。</w:t>
            </w:r>
          </w:p>
          <w:p w14:paraId="68C1C798">
            <w:pPr>
              <w:numPr>
                <w:ilvl w:val="0"/>
                <w:numId w:val="2"/>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承租方可投入资金对已破损老旧的房产进行修缮，对楼房整体框架进行加固，但不得改变房屋结构不得擅自在房产周边新建任何构建物。合同中止后，承租方将房屋现状无偿移交，出租方不再对承租方投资装俢及加固等费用进行补偿。</w:t>
            </w:r>
          </w:p>
          <w:p w14:paraId="77C3E3A9">
            <w:pPr>
              <w:numPr>
                <w:ilvl w:val="0"/>
                <w:numId w:val="2"/>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租赁期内若因政府征收、收购、拆除租赁物及自然灾害、其他不可抗力等因素导致无法继续履行本合同的，出租方不予以补偿，其全部损失由承租方自行承担。</w:t>
            </w:r>
          </w:p>
          <w:p w14:paraId="350B8F13">
            <w:pPr>
              <w:numPr>
                <w:ilvl w:val="0"/>
                <w:numId w:val="2"/>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本项目有关信息由出租方提供，屯昌农村产权交易服务平台对其不承担保证及其他法律责任，出租方按标的现状出租该标的，意向承租方报名即接受现状。</w:t>
            </w:r>
          </w:p>
          <w:p w14:paraId="16958F5D">
            <w:pPr>
              <w:numPr>
                <w:ilvl w:val="0"/>
                <w:numId w:val="2"/>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其他未尽事宜在租赁双方签订的《租赁合同》中约定。</w:t>
            </w:r>
          </w:p>
          <w:p w14:paraId="05759B39">
            <w:pPr>
              <w:numPr>
                <w:ilvl w:val="0"/>
                <w:numId w:val="2"/>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交易平台出具标的竟得书后，承租方需在3个工作日内完成签订标的竞得书并一次性支付交易服务费至平台指定账户，再由出租方提供的租赁合同文本并于10工作日内签订租赁合同，承租方应在合同签订的5个工作日内结清租金，若因承租方原因未在规定时间内签订标的竞得书、租赁合同，支付交易服务费以及结清租金，视为承租方违约。</w:t>
            </w:r>
          </w:p>
        </w:tc>
      </w:tr>
      <w:tr w14:paraId="758A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trPr>
        <w:tc>
          <w:tcPr>
            <w:tcW w:w="988" w:type="pct"/>
            <w:tcBorders>
              <w:left w:val="single" w:color="auto" w:sz="4" w:space="0"/>
              <w:right w:val="single" w:color="auto" w:sz="4" w:space="0"/>
            </w:tcBorders>
            <w:noWrap w:val="0"/>
            <w:vAlign w:val="center"/>
          </w:tcPr>
          <w:p w14:paraId="571931EE">
            <w:pPr>
              <w:jc w:val="center"/>
              <w:rPr>
                <w:rFonts w:hint="eastAsia" w:asciiTheme="minorEastAsia" w:hAnsiTheme="minorEastAsia" w:cstheme="minorEastAsia"/>
                <w:b/>
                <w:bCs w:val="0"/>
                <w:color w:val="auto"/>
                <w:sz w:val="21"/>
                <w:szCs w:val="21"/>
                <w:lang w:val="en-US" w:eastAsia="zh-CN"/>
              </w:rPr>
            </w:pPr>
            <w:r>
              <w:rPr>
                <w:rFonts w:hint="eastAsia" w:asciiTheme="minorEastAsia" w:hAnsiTheme="minorEastAsia" w:cstheme="minorEastAsia"/>
                <w:b/>
                <w:bCs w:val="0"/>
                <w:color w:val="auto"/>
                <w:sz w:val="21"/>
                <w:szCs w:val="21"/>
                <w:lang w:val="en-US" w:eastAsia="zh-CN"/>
              </w:rPr>
              <w:t>其他需要披露</w:t>
            </w:r>
          </w:p>
          <w:p w14:paraId="784BAFC4">
            <w:pPr>
              <w:jc w:val="center"/>
              <w:rPr>
                <w:rFonts w:hint="eastAsia" w:asciiTheme="minorEastAsia" w:hAnsiTheme="minorEastAsia" w:cstheme="minorEastAsia"/>
                <w:b/>
                <w:bCs w:val="0"/>
                <w:color w:val="auto"/>
                <w:sz w:val="21"/>
                <w:szCs w:val="21"/>
                <w:lang w:val="en-US" w:eastAsia="zh-CN"/>
              </w:rPr>
            </w:pPr>
            <w:r>
              <w:rPr>
                <w:rFonts w:hint="eastAsia" w:asciiTheme="minorEastAsia" w:hAnsiTheme="minorEastAsia" w:cstheme="minorEastAsia"/>
                <w:b/>
                <w:bCs w:val="0"/>
                <w:color w:val="auto"/>
                <w:sz w:val="21"/>
                <w:szCs w:val="21"/>
                <w:lang w:val="en-US" w:eastAsia="zh-CN"/>
              </w:rPr>
              <w:t>的信息</w:t>
            </w:r>
          </w:p>
        </w:tc>
        <w:tc>
          <w:tcPr>
            <w:tcW w:w="4011" w:type="pct"/>
            <w:gridSpan w:val="2"/>
            <w:tcBorders>
              <w:top w:val="single" w:color="auto" w:sz="4" w:space="0"/>
              <w:left w:val="single" w:color="auto" w:sz="4" w:space="0"/>
              <w:bottom w:val="single" w:color="auto" w:sz="4" w:space="0"/>
              <w:right w:val="single" w:color="auto" w:sz="4" w:space="0"/>
            </w:tcBorders>
            <w:noWrap w:val="0"/>
            <w:vAlign w:val="center"/>
          </w:tcPr>
          <w:p w14:paraId="688E5A80">
            <w:pPr>
              <w:spacing w:line="360" w:lineRule="auto"/>
              <w:rPr>
                <w:rFonts w:hint="eastAsia" w:ascii="宋体" w:hAnsi="宋体" w:eastAsia="宋体" w:cs="宋体"/>
                <w:color w:val="auto"/>
                <w:sz w:val="21"/>
                <w:szCs w:val="21"/>
                <w:highlight w:val="none"/>
                <w:lang w:val="en-US" w:eastAsia="zh-CN"/>
              </w:rPr>
            </w:pPr>
            <w:r>
              <w:rPr>
                <w:rFonts w:hint="eastAsia" w:asciiTheme="minorEastAsia" w:hAnsiTheme="minorEastAsia" w:cstheme="minorEastAsia"/>
                <w:color w:val="auto"/>
                <w:sz w:val="18"/>
                <w:szCs w:val="18"/>
                <w:lang w:val="en-US" w:eastAsia="zh-CN"/>
              </w:rPr>
              <w:t>可补充其他需要披露的事项。</w:t>
            </w:r>
          </w:p>
        </w:tc>
      </w:tr>
      <w:tr w14:paraId="58CB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trPr>
        <w:tc>
          <w:tcPr>
            <w:tcW w:w="988" w:type="pct"/>
            <w:tcBorders>
              <w:left w:val="single" w:color="auto" w:sz="4" w:space="0"/>
              <w:right w:val="single" w:color="auto" w:sz="4" w:space="0"/>
            </w:tcBorders>
            <w:noWrap w:val="0"/>
            <w:vAlign w:val="center"/>
          </w:tcPr>
          <w:p w14:paraId="7F110C3D">
            <w:pPr>
              <w:jc w:val="center"/>
              <w:rPr>
                <w:rFonts w:hint="eastAsia" w:asciiTheme="minorEastAsia" w:hAnsiTheme="minorEastAsia" w:cstheme="minorEastAsia"/>
                <w:b/>
                <w:bCs w:val="0"/>
                <w:color w:val="auto"/>
                <w:sz w:val="21"/>
                <w:szCs w:val="21"/>
                <w:lang w:val="en-US" w:eastAsia="zh-CN"/>
              </w:rPr>
            </w:pPr>
            <w:r>
              <w:rPr>
                <w:rFonts w:hint="eastAsia" w:asciiTheme="minorEastAsia" w:hAnsiTheme="minorEastAsia" w:cstheme="minorEastAsia"/>
                <w:b/>
                <w:bCs w:val="0"/>
                <w:color w:val="auto"/>
                <w:sz w:val="21"/>
                <w:szCs w:val="21"/>
                <w:lang w:val="en-US" w:eastAsia="zh-CN"/>
              </w:rPr>
              <w:t>备注</w:t>
            </w:r>
          </w:p>
        </w:tc>
        <w:tc>
          <w:tcPr>
            <w:tcW w:w="4011" w:type="pct"/>
            <w:gridSpan w:val="2"/>
            <w:tcBorders>
              <w:top w:val="single" w:color="auto" w:sz="4" w:space="0"/>
              <w:left w:val="single" w:color="auto" w:sz="4" w:space="0"/>
              <w:bottom w:val="single" w:color="auto" w:sz="4" w:space="0"/>
              <w:right w:val="single" w:color="auto" w:sz="4" w:space="0"/>
            </w:tcBorders>
            <w:noWrap w:val="0"/>
            <w:vAlign w:val="center"/>
          </w:tcPr>
          <w:p w14:paraId="67ED109B">
            <w:pPr>
              <w:spacing w:line="360" w:lineRule="auto"/>
              <w:rPr>
                <w:rFonts w:hint="eastAsia" w:ascii="宋体" w:hAnsi="宋体" w:eastAsia="宋体" w:cs="宋体"/>
                <w:color w:val="auto"/>
                <w:sz w:val="21"/>
                <w:szCs w:val="21"/>
                <w:highlight w:val="none"/>
                <w:lang w:val="en-US" w:eastAsia="zh-CN"/>
              </w:rPr>
            </w:pPr>
            <w:r>
              <w:rPr>
                <w:rFonts w:hint="eastAsia" w:asciiTheme="minorEastAsia" w:hAnsiTheme="minorEastAsia" w:cstheme="minorEastAsia"/>
                <w:color w:val="auto"/>
                <w:sz w:val="18"/>
                <w:szCs w:val="18"/>
                <w:lang w:val="en-US" w:eastAsia="zh-CN"/>
              </w:rPr>
              <w:t>可对上述内容作补充或说明</w:t>
            </w:r>
          </w:p>
        </w:tc>
      </w:tr>
      <w:tr w14:paraId="62A1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5000" w:type="pct"/>
            <w:gridSpan w:val="3"/>
            <w:tcBorders>
              <w:left w:val="single" w:color="auto" w:sz="4" w:space="0"/>
              <w:right w:val="single" w:color="auto" w:sz="4" w:space="0"/>
            </w:tcBorders>
            <w:shd w:val="clear" w:color="auto" w:fill="D7D7D7" w:themeFill="background1" w:themeFillShade="D8"/>
            <w:noWrap w:val="0"/>
            <w:vAlign w:val="center"/>
          </w:tcPr>
          <w:p w14:paraId="38ACCAA4">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交易设置</w:t>
            </w:r>
          </w:p>
        </w:tc>
      </w:tr>
      <w:tr w14:paraId="0C50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trPr>
        <w:tc>
          <w:tcPr>
            <w:tcW w:w="988" w:type="pct"/>
            <w:tcBorders>
              <w:left w:val="single" w:color="auto" w:sz="4" w:space="0"/>
              <w:right w:val="single" w:color="auto" w:sz="4" w:space="0"/>
            </w:tcBorders>
            <w:noWrap w:val="0"/>
            <w:vAlign w:val="center"/>
          </w:tcPr>
          <w:p w14:paraId="7B30BDC3">
            <w:pPr>
              <w:jc w:val="center"/>
              <w:rPr>
                <w:rFonts w:hint="eastAsia" w:asciiTheme="minorEastAsia" w:hAnsiTheme="minorEastAsia" w:cstheme="minorEastAsia"/>
                <w:b/>
                <w:bCs w:val="0"/>
                <w:color w:val="auto"/>
                <w:sz w:val="21"/>
                <w:szCs w:val="21"/>
                <w:lang w:val="en-US" w:eastAsia="zh-CN"/>
              </w:rPr>
            </w:pPr>
            <w:r>
              <w:rPr>
                <w:rFonts w:hint="eastAsia" w:asciiTheme="minorEastAsia" w:hAnsiTheme="minorEastAsia" w:cstheme="minorEastAsia"/>
                <w:b/>
                <w:bCs w:val="0"/>
                <w:color w:val="auto"/>
                <w:sz w:val="21"/>
                <w:szCs w:val="21"/>
                <w:lang w:val="en-US" w:eastAsia="zh-CN"/>
              </w:rPr>
              <w:t>交易模式</w:t>
            </w:r>
          </w:p>
        </w:tc>
        <w:tc>
          <w:tcPr>
            <w:tcW w:w="4011" w:type="pct"/>
            <w:gridSpan w:val="2"/>
            <w:tcBorders>
              <w:top w:val="single" w:color="auto" w:sz="4" w:space="0"/>
              <w:left w:val="single" w:color="auto" w:sz="4" w:space="0"/>
              <w:bottom w:val="single" w:color="auto" w:sz="4" w:space="0"/>
              <w:right w:val="single" w:color="auto" w:sz="4" w:space="0"/>
            </w:tcBorders>
            <w:noWrap w:val="0"/>
            <w:vAlign w:val="center"/>
          </w:tcPr>
          <w:p w14:paraId="1558B7B4">
            <w:pP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cstheme="minorEastAsia"/>
                <w:color w:val="auto"/>
                <w:kern w:val="2"/>
                <w:sz w:val="21"/>
                <w:szCs w:val="21"/>
                <w:lang w:val="en-US" w:eastAsia="zh-CN" w:bidi="ar-SA"/>
              </w:rPr>
              <w:t>☑</w:t>
            </w:r>
            <w:r>
              <w:rPr>
                <w:rFonts w:hint="eastAsia" w:asciiTheme="minorEastAsia" w:hAnsiTheme="minorEastAsia" w:eastAsiaTheme="minorEastAsia" w:cstheme="minorEastAsia"/>
                <w:color w:val="auto"/>
                <w:kern w:val="2"/>
                <w:sz w:val="21"/>
                <w:szCs w:val="21"/>
                <w:lang w:val="en-US" w:eastAsia="zh-CN" w:bidi="ar-SA"/>
              </w:rPr>
              <w:t>竞拍    □挂牌</w:t>
            </w:r>
          </w:p>
        </w:tc>
      </w:tr>
      <w:tr w14:paraId="67F26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988" w:type="pct"/>
            <w:tcBorders>
              <w:left w:val="single" w:color="auto" w:sz="4" w:space="0"/>
              <w:right w:val="single" w:color="auto" w:sz="4" w:space="0"/>
            </w:tcBorders>
            <w:noWrap w:val="0"/>
            <w:vAlign w:val="center"/>
          </w:tcPr>
          <w:p w14:paraId="503BED1B">
            <w:pPr>
              <w:jc w:val="center"/>
              <w:rPr>
                <w:rFonts w:hint="eastAsia" w:asciiTheme="minorEastAsia" w:hAnsiTheme="minorEastAsia" w:cstheme="minorEastAsia"/>
                <w:b/>
                <w:bCs w:val="0"/>
                <w:color w:val="auto"/>
                <w:sz w:val="21"/>
                <w:szCs w:val="21"/>
                <w:lang w:val="en-US" w:eastAsia="zh-CN"/>
              </w:rPr>
            </w:pPr>
            <w:r>
              <w:rPr>
                <w:rFonts w:hint="eastAsia" w:asciiTheme="minorEastAsia" w:hAnsiTheme="minorEastAsia" w:cstheme="minorEastAsia"/>
                <w:b/>
                <w:bCs w:val="0"/>
                <w:color w:val="auto"/>
                <w:sz w:val="21"/>
                <w:szCs w:val="21"/>
                <w:lang w:val="en-US" w:eastAsia="zh-CN"/>
              </w:rPr>
              <w:t>信息披露公告期</w:t>
            </w:r>
          </w:p>
        </w:tc>
        <w:tc>
          <w:tcPr>
            <w:tcW w:w="4011" w:type="pct"/>
            <w:gridSpan w:val="2"/>
            <w:tcBorders>
              <w:top w:val="single" w:color="auto" w:sz="4" w:space="0"/>
              <w:left w:val="single" w:color="auto" w:sz="4" w:space="0"/>
              <w:bottom w:val="single" w:color="auto" w:sz="4" w:space="0"/>
              <w:right w:val="single" w:color="auto" w:sz="4" w:space="0"/>
            </w:tcBorders>
            <w:noWrap w:val="0"/>
            <w:vAlign w:val="center"/>
          </w:tcPr>
          <w:p w14:paraId="6901782E">
            <w:pP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u w:val="single"/>
                <w:lang w:val="en-US" w:eastAsia="zh-CN" w:bidi="ar-SA"/>
              </w:rPr>
              <w:t xml:space="preserve">  </w:t>
            </w:r>
            <w:r>
              <w:rPr>
                <w:rFonts w:hint="eastAsia" w:asciiTheme="minorEastAsia" w:hAnsiTheme="minorEastAsia" w:cstheme="minorEastAsia"/>
                <w:color w:val="auto"/>
                <w:kern w:val="2"/>
                <w:sz w:val="21"/>
                <w:szCs w:val="21"/>
                <w:u w:val="single"/>
                <w:lang w:val="en-US" w:eastAsia="zh-CN" w:bidi="ar-SA"/>
              </w:rPr>
              <w:t>7</w:t>
            </w:r>
            <w:r>
              <w:rPr>
                <w:rFonts w:hint="eastAsia" w:asciiTheme="minorEastAsia" w:hAnsiTheme="minorEastAsia" w:eastAsiaTheme="minorEastAsia" w:cstheme="minorEastAsia"/>
                <w:color w:val="auto"/>
                <w:kern w:val="2"/>
                <w:sz w:val="21"/>
                <w:szCs w:val="21"/>
                <w:u w:val="single"/>
                <w:lang w:val="en-US" w:eastAsia="zh-CN" w:bidi="ar-SA"/>
              </w:rPr>
              <w:t xml:space="preserve"> </w:t>
            </w:r>
            <w:r>
              <w:rPr>
                <w:rFonts w:hint="eastAsia" w:asciiTheme="minorEastAsia" w:hAnsiTheme="minorEastAsia" w:eastAsiaTheme="minorEastAsia" w:cstheme="minorEastAsia"/>
                <w:color w:val="auto"/>
                <w:kern w:val="2"/>
                <w:sz w:val="21"/>
                <w:szCs w:val="21"/>
                <w:lang w:val="en-US" w:eastAsia="zh-CN" w:bidi="ar-SA"/>
              </w:rPr>
              <w:t xml:space="preserve"> 个工作日</w:t>
            </w:r>
            <w:r>
              <w:rPr>
                <w:rFonts w:hint="eastAsia" w:asciiTheme="minorEastAsia" w:hAnsiTheme="minorEastAsia" w:cstheme="minorEastAsia"/>
                <w:color w:val="auto"/>
                <w:kern w:val="2"/>
                <w:sz w:val="21"/>
                <w:szCs w:val="21"/>
                <w:lang w:val="en-US" w:eastAsia="zh-CN" w:bidi="ar-SA"/>
              </w:rPr>
              <w:t>（最少7个工作日）</w:t>
            </w:r>
          </w:p>
        </w:tc>
      </w:tr>
      <w:tr w14:paraId="5713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2" w:hRule="atLeast"/>
        </w:trPr>
        <w:tc>
          <w:tcPr>
            <w:tcW w:w="988" w:type="pct"/>
            <w:tcBorders>
              <w:left w:val="single" w:color="auto" w:sz="4" w:space="0"/>
              <w:right w:val="single" w:color="auto" w:sz="4" w:space="0"/>
            </w:tcBorders>
            <w:noWrap w:val="0"/>
            <w:vAlign w:val="center"/>
          </w:tcPr>
          <w:p w14:paraId="417D7B65">
            <w:pPr>
              <w:jc w:val="center"/>
              <w:rPr>
                <w:rFonts w:hint="eastAsia" w:asciiTheme="minorEastAsia" w:hAnsiTheme="minorEastAsia" w:cstheme="minorEastAsia"/>
                <w:b/>
                <w:bCs w:val="0"/>
                <w:color w:val="auto"/>
                <w:sz w:val="21"/>
                <w:szCs w:val="21"/>
              </w:rPr>
            </w:pPr>
            <w:r>
              <w:rPr>
                <w:rFonts w:hint="eastAsia" w:asciiTheme="minorEastAsia" w:hAnsiTheme="minorEastAsia" w:cstheme="minorEastAsia"/>
                <w:b/>
                <w:bCs w:val="0"/>
                <w:color w:val="auto"/>
                <w:sz w:val="21"/>
                <w:szCs w:val="21"/>
              </w:rPr>
              <w:t>公告期满后，如未征集到满足条件的意向承租方</w:t>
            </w:r>
          </w:p>
        </w:tc>
        <w:tc>
          <w:tcPr>
            <w:tcW w:w="4011" w:type="pct"/>
            <w:gridSpan w:val="2"/>
            <w:tcBorders>
              <w:top w:val="single" w:color="auto" w:sz="4" w:space="0"/>
              <w:left w:val="single" w:color="auto" w:sz="4" w:space="0"/>
              <w:bottom w:val="single" w:color="auto" w:sz="4" w:space="0"/>
              <w:right w:val="single" w:color="auto" w:sz="4" w:space="0"/>
            </w:tcBorders>
            <w:noWrap w:val="0"/>
            <w:vAlign w:val="center"/>
          </w:tcPr>
          <w:p w14:paraId="29F568FE">
            <w:pP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 信息披露终结。</w:t>
            </w:r>
          </w:p>
          <w:p w14:paraId="12157A1C">
            <w:pP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cstheme="minorEastAsia"/>
                <w:color w:val="auto"/>
                <w:kern w:val="2"/>
                <w:sz w:val="21"/>
                <w:szCs w:val="21"/>
                <w:lang w:val="en-US" w:eastAsia="zh-CN" w:bidi="ar-SA"/>
              </w:rPr>
              <w:t>☑</w:t>
            </w:r>
            <w:r>
              <w:rPr>
                <w:rFonts w:hint="eastAsia" w:asciiTheme="minorEastAsia" w:hAnsiTheme="minorEastAsia" w:eastAsiaTheme="minorEastAsia" w:cstheme="minorEastAsia"/>
                <w:color w:val="auto"/>
                <w:kern w:val="2"/>
                <w:sz w:val="21"/>
                <w:szCs w:val="21"/>
                <w:lang w:val="en-US" w:eastAsia="zh-CN" w:bidi="ar-SA"/>
              </w:rPr>
              <w:t xml:space="preserve"> 延长信息披露，不变更挂牌条件，按照</w:t>
            </w:r>
            <w:r>
              <w:rPr>
                <w:rFonts w:hint="eastAsia" w:asciiTheme="minorEastAsia" w:hAnsiTheme="minorEastAsia" w:eastAsiaTheme="minorEastAsia" w:cstheme="minorEastAsia"/>
                <w:color w:val="auto"/>
                <w:kern w:val="2"/>
                <w:sz w:val="21"/>
                <w:szCs w:val="21"/>
                <w:u w:val="single"/>
                <w:lang w:val="en-US" w:eastAsia="zh-CN" w:bidi="ar-SA"/>
              </w:rPr>
              <w:t xml:space="preserve"> </w:t>
            </w:r>
            <w:r>
              <w:rPr>
                <w:rFonts w:hint="eastAsia" w:asciiTheme="minorEastAsia" w:hAnsiTheme="minorEastAsia" w:cstheme="minorEastAsia"/>
                <w:color w:val="auto"/>
                <w:kern w:val="2"/>
                <w:sz w:val="21"/>
                <w:szCs w:val="21"/>
                <w:u w:val="single"/>
                <w:lang w:val="en-US" w:eastAsia="zh-CN" w:bidi="ar-SA"/>
              </w:rPr>
              <w:t>5</w:t>
            </w:r>
            <w:r>
              <w:rPr>
                <w:rFonts w:hint="eastAsia" w:asciiTheme="minorEastAsia" w:hAnsiTheme="minorEastAsia" w:eastAsiaTheme="minorEastAsia" w:cstheme="minorEastAsia"/>
                <w:color w:val="auto"/>
                <w:kern w:val="2"/>
                <w:sz w:val="21"/>
                <w:szCs w:val="21"/>
                <w:u w:val="single"/>
                <w:lang w:val="en-US" w:eastAsia="zh-CN" w:bidi="ar-SA"/>
              </w:rPr>
              <w:t xml:space="preserve">  </w:t>
            </w:r>
            <w:r>
              <w:rPr>
                <w:rFonts w:hint="eastAsia" w:asciiTheme="minorEastAsia" w:hAnsiTheme="minorEastAsia" w:eastAsiaTheme="minorEastAsia" w:cstheme="minorEastAsia"/>
                <w:color w:val="auto"/>
                <w:kern w:val="2"/>
                <w:sz w:val="21"/>
                <w:szCs w:val="21"/>
                <w:lang w:val="en-US" w:eastAsia="zh-CN" w:bidi="ar-SA"/>
              </w:rPr>
              <w:t>个工作日为一个周期，直至征集到意向承租方（从正式公告日期起不超过3个月）。</w:t>
            </w:r>
          </w:p>
          <w:p w14:paraId="2C8E557A">
            <w:pP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 延长信息披露，不变更挂牌条件，按照</w:t>
            </w:r>
            <w:r>
              <w:rPr>
                <w:rFonts w:hint="eastAsia" w:asciiTheme="minorEastAsia" w:hAnsiTheme="minorEastAsia" w:eastAsiaTheme="minorEastAsia" w:cstheme="minorEastAsia"/>
                <w:color w:val="auto"/>
                <w:kern w:val="2"/>
                <w:sz w:val="21"/>
                <w:szCs w:val="21"/>
                <w:u w:val="single"/>
                <w:lang w:val="en-US" w:eastAsia="zh-CN" w:bidi="ar-SA"/>
              </w:rPr>
              <w:t xml:space="preserve">   </w:t>
            </w:r>
            <w:r>
              <w:rPr>
                <w:rFonts w:hint="eastAsia" w:asciiTheme="minorEastAsia" w:hAnsiTheme="minorEastAsia" w:eastAsiaTheme="minorEastAsia" w:cstheme="minorEastAsia"/>
                <w:color w:val="auto"/>
                <w:kern w:val="2"/>
                <w:sz w:val="21"/>
                <w:szCs w:val="21"/>
                <w:lang w:val="en-US" w:eastAsia="zh-CN" w:bidi="ar-SA"/>
              </w:rPr>
              <w:t xml:space="preserve">  个工作日为一个周期，延长</w:t>
            </w:r>
            <w:r>
              <w:rPr>
                <w:rFonts w:hint="eastAsia" w:asciiTheme="minorEastAsia" w:hAnsiTheme="minorEastAsia" w:eastAsiaTheme="minorEastAsia" w:cstheme="minorEastAsia"/>
                <w:color w:val="auto"/>
                <w:kern w:val="2"/>
                <w:sz w:val="21"/>
                <w:szCs w:val="21"/>
                <w:u w:val="single"/>
                <w:lang w:val="en-US" w:eastAsia="zh-CN" w:bidi="ar-SA"/>
              </w:rPr>
              <w:t xml:space="preserve">   </w:t>
            </w:r>
            <w:r>
              <w:rPr>
                <w:rFonts w:hint="eastAsia" w:asciiTheme="minorEastAsia" w:hAnsiTheme="minorEastAsia" w:eastAsiaTheme="minorEastAsia" w:cstheme="minorEastAsia"/>
                <w:color w:val="auto"/>
                <w:kern w:val="2"/>
                <w:sz w:val="21"/>
                <w:szCs w:val="21"/>
                <w:lang w:val="en-US" w:eastAsia="zh-CN" w:bidi="ar-SA"/>
              </w:rPr>
              <w:t xml:space="preserve">  个周期（从正式公告日期起不超过3个月）。</w:t>
            </w:r>
          </w:p>
          <w:p w14:paraId="20B47794">
            <w:pP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 变更信息披露内容，重新申请信息披露。</w:t>
            </w:r>
          </w:p>
        </w:tc>
      </w:tr>
      <w:tr w14:paraId="50D9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988" w:type="pct"/>
            <w:tcBorders>
              <w:left w:val="single" w:color="auto" w:sz="4" w:space="0"/>
              <w:right w:val="single" w:color="auto" w:sz="4" w:space="0"/>
            </w:tcBorders>
            <w:noWrap w:val="0"/>
            <w:vAlign w:val="center"/>
          </w:tcPr>
          <w:p w14:paraId="7DC99996">
            <w:pPr>
              <w:jc w:val="center"/>
              <w:rPr>
                <w:rFonts w:hint="eastAsia" w:asciiTheme="minorEastAsia" w:hAnsiTheme="minorEastAsia" w:cstheme="minorEastAsia"/>
                <w:b/>
                <w:bCs w:val="0"/>
                <w:color w:val="auto"/>
                <w:sz w:val="21"/>
                <w:szCs w:val="21"/>
              </w:rPr>
            </w:pPr>
            <w:r>
              <w:rPr>
                <w:rFonts w:hint="eastAsia" w:asciiTheme="minorEastAsia" w:hAnsiTheme="minorEastAsia" w:cstheme="minorEastAsia"/>
                <w:b/>
                <w:bCs w:val="0"/>
                <w:color w:val="auto"/>
                <w:sz w:val="21"/>
                <w:szCs w:val="21"/>
              </w:rPr>
              <w:t>交易方式</w:t>
            </w:r>
          </w:p>
        </w:tc>
        <w:tc>
          <w:tcPr>
            <w:tcW w:w="4011" w:type="pct"/>
            <w:gridSpan w:val="2"/>
            <w:tcBorders>
              <w:top w:val="single" w:color="auto" w:sz="4" w:space="0"/>
              <w:left w:val="single" w:color="auto" w:sz="4" w:space="0"/>
              <w:bottom w:val="single" w:color="auto" w:sz="4" w:space="0"/>
              <w:right w:val="single" w:color="auto" w:sz="4" w:space="0"/>
            </w:tcBorders>
            <w:noWrap w:val="0"/>
            <w:vAlign w:val="center"/>
          </w:tcPr>
          <w:p w14:paraId="688FA2A5">
            <w:pPr>
              <w:pStyle w:val="36"/>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挂牌期满，如征集到两个及以上符合条件的意向承租方，选择以下交易方式确定承租方：</w:t>
            </w:r>
          </w:p>
          <w:p w14:paraId="35CF6EE4">
            <w:pPr>
              <w:pStyle w:val="36"/>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cstheme="minorEastAsia"/>
                <w:color w:val="auto"/>
                <w:kern w:val="2"/>
                <w:sz w:val="21"/>
                <w:szCs w:val="21"/>
                <w:lang w:val="en-US" w:eastAsia="zh-CN" w:bidi="ar-SA"/>
              </w:rPr>
              <w:t>☑</w:t>
            </w:r>
            <w:r>
              <w:rPr>
                <w:rFonts w:hint="eastAsia" w:asciiTheme="minorEastAsia" w:hAnsiTheme="minorEastAsia" w:eastAsiaTheme="minorEastAsia" w:cstheme="minorEastAsia"/>
                <w:color w:val="auto"/>
                <w:kern w:val="2"/>
                <w:sz w:val="21"/>
                <w:szCs w:val="21"/>
                <w:lang w:val="en-US" w:eastAsia="zh-CN" w:bidi="ar-SA"/>
              </w:rPr>
              <w:t>网络竞价</w:t>
            </w:r>
          </w:p>
          <w:p w14:paraId="31D6D45D">
            <w:pPr>
              <w:pStyle w:val="36"/>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w:t>
            </w:r>
            <w:r>
              <w:rPr>
                <w:rFonts w:hint="eastAsia" w:asciiTheme="minorEastAsia" w:hAnsiTheme="minorEastAsia" w:cstheme="minorEastAsia"/>
                <w:color w:val="auto"/>
                <w:kern w:val="2"/>
                <w:sz w:val="21"/>
                <w:szCs w:val="21"/>
                <w:lang w:val="en-US" w:eastAsia="zh-CN" w:bidi="ar-SA"/>
              </w:rPr>
              <w:t>☑</w:t>
            </w:r>
            <w:r>
              <w:rPr>
                <w:rFonts w:hint="eastAsia" w:asciiTheme="minorEastAsia" w:hAnsiTheme="minorEastAsia" w:eastAsiaTheme="minorEastAsia" w:cstheme="minorEastAsia"/>
                <w:color w:val="auto"/>
                <w:kern w:val="2"/>
                <w:sz w:val="21"/>
                <w:szCs w:val="21"/>
                <w:lang w:val="en-US" w:eastAsia="zh-CN" w:bidi="ar-SA"/>
              </w:rPr>
              <w:t>阶梯竞价〈竞价阶梯</w:t>
            </w:r>
            <w:r>
              <w:rPr>
                <w:rFonts w:hint="eastAsia" w:asciiTheme="minorEastAsia" w:hAnsiTheme="minorEastAsia" w:eastAsiaTheme="minorEastAsia" w:cstheme="minorEastAsia"/>
                <w:color w:val="auto"/>
                <w:kern w:val="2"/>
                <w:sz w:val="21"/>
                <w:szCs w:val="21"/>
                <w:u w:val="single"/>
                <w:lang w:val="en-US" w:eastAsia="zh-CN" w:bidi="ar-SA"/>
              </w:rPr>
              <w:t xml:space="preserve"> </w:t>
            </w:r>
            <w:r>
              <w:rPr>
                <w:rFonts w:hint="eastAsia" w:asciiTheme="minorEastAsia" w:hAnsiTheme="minorEastAsia" w:cstheme="minorEastAsia"/>
                <w:color w:val="auto"/>
                <w:kern w:val="2"/>
                <w:sz w:val="21"/>
                <w:szCs w:val="21"/>
                <w:u w:val="single"/>
                <w:lang w:val="en-US" w:eastAsia="zh-CN" w:bidi="ar-SA"/>
              </w:rPr>
              <w:t>100</w:t>
            </w:r>
            <w:r>
              <w:rPr>
                <w:rFonts w:hint="eastAsia" w:asciiTheme="minorEastAsia" w:hAnsiTheme="minorEastAsia" w:eastAsiaTheme="minorEastAsia" w:cstheme="minorEastAsia"/>
                <w:color w:val="auto"/>
                <w:kern w:val="2"/>
                <w:sz w:val="21"/>
                <w:szCs w:val="21"/>
                <w:lang w:val="en-US" w:eastAsia="zh-CN" w:bidi="ar-SA"/>
              </w:rPr>
              <w:t xml:space="preserve">元 &gt;□自由竞价）     </w:t>
            </w:r>
          </w:p>
          <w:p w14:paraId="412F3564">
            <w:pP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□其他</w:t>
            </w:r>
          </w:p>
        </w:tc>
      </w:tr>
      <w:tr w14:paraId="0097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988" w:type="pct"/>
            <w:tcBorders>
              <w:left w:val="single" w:color="auto" w:sz="4" w:space="0"/>
              <w:right w:val="single" w:color="auto" w:sz="4" w:space="0"/>
            </w:tcBorders>
            <w:noWrap w:val="0"/>
            <w:vAlign w:val="center"/>
          </w:tcPr>
          <w:p w14:paraId="3BE0B7AA">
            <w:pPr>
              <w:jc w:val="center"/>
              <w:rPr>
                <w:rFonts w:hint="default" w:asciiTheme="minorEastAsia" w:hAnsiTheme="minorEastAsia" w:cstheme="minorEastAsia"/>
                <w:b/>
                <w:bCs w:val="0"/>
                <w:color w:val="auto"/>
                <w:sz w:val="21"/>
                <w:szCs w:val="21"/>
                <w:lang w:val="en-US" w:eastAsia="zh-CN"/>
              </w:rPr>
            </w:pPr>
            <w:r>
              <w:rPr>
                <w:rFonts w:hint="eastAsia" w:asciiTheme="minorEastAsia" w:hAnsiTheme="minorEastAsia" w:cstheme="minorEastAsia"/>
                <w:b/>
                <w:bCs w:val="0"/>
                <w:color w:val="auto"/>
                <w:sz w:val="21"/>
                <w:szCs w:val="21"/>
                <w:lang w:val="en-US" w:eastAsia="zh-CN"/>
              </w:rPr>
              <w:t>备注</w:t>
            </w:r>
          </w:p>
        </w:tc>
        <w:tc>
          <w:tcPr>
            <w:tcW w:w="4011" w:type="pct"/>
            <w:gridSpan w:val="2"/>
            <w:tcBorders>
              <w:top w:val="single" w:color="auto" w:sz="4" w:space="0"/>
              <w:left w:val="single" w:color="auto" w:sz="4" w:space="0"/>
              <w:bottom w:val="single" w:color="auto" w:sz="4" w:space="0"/>
              <w:right w:val="single" w:color="auto" w:sz="4" w:space="0"/>
            </w:tcBorders>
            <w:noWrap w:val="0"/>
            <w:vAlign w:val="center"/>
          </w:tcPr>
          <w:p w14:paraId="302E2F61">
            <w:pPr>
              <w:rPr>
                <w:rFonts w:hint="eastAsia" w:ascii="宋体"/>
                <w:color w:val="auto"/>
                <w:sz w:val="21"/>
                <w:szCs w:val="21"/>
              </w:rPr>
            </w:pPr>
          </w:p>
        </w:tc>
      </w:tr>
    </w:tbl>
    <w:p w14:paraId="4D53CE03">
      <w:pPr>
        <w:spacing w:line="240" w:lineRule="auto"/>
        <w:jc w:val="both"/>
        <w:rPr>
          <w:rFonts w:hint="eastAsia" w:ascii="宋体" w:hAnsi="宋体" w:eastAsia="宋体" w:cs="宋体"/>
          <w:b w:val="0"/>
          <w:bCs w:val="0"/>
          <w:sz w:val="21"/>
          <w:szCs w:val="21"/>
          <w:lang w:val="en-US" w:eastAsia="zh-CN"/>
        </w:rPr>
      </w:pPr>
    </w:p>
    <w:p w14:paraId="042582A9">
      <w:pPr>
        <w:spacing w:line="240" w:lineRule="auto"/>
        <w:jc w:val="both"/>
        <w:rPr>
          <w:rFonts w:hint="default"/>
          <w:lang w:val="en-US" w:eastAsia="zh-CN"/>
        </w:rPr>
      </w:pPr>
      <w:r>
        <w:rPr>
          <w:rFonts w:hint="eastAsia" w:ascii="宋体" w:hAnsi="宋体" w:eastAsia="宋体" w:cs="宋体"/>
          <w:b w:val="0"/>
          <w:bCs w:val="0"/>
          <w:sz w:val="21"/>
          <w:szCs w:val="21"/>
          <w:lang w:val="en-US" w:eastAsia="zh-CN"/>
        </w:rPr>
        <w:t>注：</w:t>
      </w:r>
      <w:r>
        <w:rPr>
          <w:rFonts w:hint="eastAsia" w:ascii="宋体" w:hAnsi="宋体" w:cs="宋体"/>
          <w:b w:val="0"/>
          <w:bCs w:val="0"/>
          <w:sz w:val="21"/>
          <w:szCs w:val="21"/>
          <w:lang w:val="en-US" w:eastAsia="zh-CN"/>
        </w:rPr>
        <w:t>中心交易公告根据此表内容制作，提交中心前请仔细核对确认信息无误。</w:t>
      </w:r>
      <w:r>
        <w:rPr>
          <w:rFonts w:hint="eastAsia" w:ascii="宋体" w:hAnsi="宋体" w:eastAsia="宋体" w:cs="宋体"/>
          <w:b w:val="0"/>
          <w:bCs w:val="0"/>
          <w:sz w:val="21"/>
          <w:szCs w:val="21"/>
          <w:lang w:val="en-US" w:eastAsia="zh-CN"/>
        </w:rPr>
        <w:t>如申请交易多个标的，应分别填写本</w:t>
      </w:r>
      <w:r>
        <w:rPr>
          <w:rFonts w:hint="eastAsia" w:ascii="宋体" w:hAnsi="宋体" w:cs="宋体"/>
          <w:b w:val="0"/>
          <w:bCs w:val="0"/>
          <w:sz w:val="21"/>
          <w:szCs w:val="21"/>
          <w:lang w:val="en-US" w:eastAsia="zh-CN"/>
        </w:rPr>
        <w:t>标的</w:t>
      </w:r>
      <w:r>
        <w:rPr>
          <w:rFonts w:hint="eastAsia" w:ascii="宋体" w:hAnsi="宋体" w:eastAsia="宋体" w:cs="宋体"/>
          <w:b w:val="0"/>
          <w:bCs w:val="0"/>
          <w:sz w:val="21"/>
          <w:szCs w:val="21"/>
          <w:lang w:val="en-US" w:eastAsia="zh-CN"/>
        </w:rPr>
        <w:t>表。</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F7E944-941E-4ABA-8528-E128C0DD7A7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Consolas">
    <w:panose1 w:val="020B0609020204030204"/>
    <w:charset w:val="00"/>
    <w:family w:val="auto"/>
    <w:pitch w:val="default"/>
    <w:sig w:usb0="E00006FF" w:usb1="0000FCFF" w:usb2="00000001" w:usb3="00000000" w:csb0="6000019F" w:csb1="DFD70000"/>
  </w:font>
  <w:font w:name="微软雅黑">
    <w:panose1 w:val="020B0503020204020204"/>
    <w:charset w:val="86"/>
    <w:family w:val="auto"/>
    <w:pitch w:val="default"/>
    <w:sig w:usb0="80000287" w:usb1="2ACF3C50" w:usb2="00000016" w:usb3="00000000" w:csb0="0004001F" w:csb1="00000000"/>
    <w:embedRegular r:id="rId2" w:fontKey="{6B6D48A5-4362-4DA2-BD23-0111C70B0CE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AF7A3">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0964385">
                          <w:pPr>
                            <w:pStyle w:val="4"/>
                          </w:pP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40964385">
                    <w:pPr>
                      <w:pStyle w:val="4"/>
                    </w:pP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862A3E"/>
    <w:multiLevelType w:val="singleLevel"/>
    <w:tmpl w:val="0C862A3E"/>
    <w:lvl w:ilvl="0" w:tentative="0">
      <w:start w:val="1"/>
      <w:numFmt w:val="decimal"/>
      <w:suff w:val="nothing"/>
      <w:lvlText w:val="%1、"/>
      <w:lvlJc w:val="left"/>
    </w:lvl>
  </w:abstractNum>
  <w:abstractNum w:abstractNumId="1">
    <w:nsid w:val="56380AAD"/>
    <w:multiLevelType w:val="singleLevel"/>
    <w:tmpl w:val="56380AA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FhYjE4MWFmOGQwMzBiMjRmYTI3Y2I3MzVhNDRkOTAifQ=="/>
  </w:docVars>
  <w:rsids>
    <w:rsidRoot w:val="11D12B82"/>
    <w:rsid w:val="02BB47EB"/>
    <w:rsid w:val="03F10511"/>
    <w:rsid w:val="04903995"/>
    <w:rsid w:val="04CD1014"/>
    <w:rsid w:val="05E90316"/>
    <w:rsid w:val="07B41CDE"/>
    <w:rsid w:val="07D7087C"/>
    <w:rsid w:val="080B0736"/>
    <w:rsid w:val="082A6FA6"/>
    <w:rsid w:val="084F653F"/>
    <w:rsid w:val="0D0C188A"/>
    <w:rsid w:val="0E0C489A"/>
    <w:rsid w:val="0E61495D"/>
    <w:rsid w:val="0E9534FA"/>
    <w:rsid w:val="0F6D24F7"/>
    <w:rsid w:val="0F995D79"/>
    <w:rsid w:val="108A2AA8"/>
    <w:rsid w:val="11013906"/>
    <w:rsid w:val="11D12B82"/>
    <w:rsid w:val="12DF0CCD"/>
    <w:rsid w:val="130C6F34"/>
    <w:rsid w:val="139C7F3C"/>
    <w:rsid w:val="14275A7F"/>
    <w:rsid w:val="15BA6327"/>
    <w:rsid w:val="162A7978"/>
    <w:rsid w:val="163E76E9"/>
    <w:rsid w:val="165D1C50"/>
    <w:rsid w:val="17B630F9"/>
    <w:rsid w:val="1AB76A44"/>
    <w:rsid w:val="1C40255C"/>
    <w:rsid w:val="1DF275FA"/>
    <w:rsid w:val="1EA22A27"/>
    <w:rsid w:val="1F080A99"/>
    <w:rsid w:val="1F1A786A"/>
    <w:rsid w:val="20CE0563"/>
    <w:rsid w:val="21396E8B"/>
    <w:rsid w:val="213E7A51"/>
    <w:rsid w:val="21D94A96"/>
    <w:rsid w:val="228F5BBE"/>
    <w:rsid w:val="233D2787"/>
    <w:rsid w:val="23D07150"/>
    <w:rsid w:val="24AE0C12"/>
    <w:rsid w:val="258B5FEC"/>
    <w:rsid w:val="261F065B"/>
    <w:rsid w:val="26603ACE"/>
    <w:rsid w:val="271635D9"/>
    <w:rsid w:val="28602D6F"/>
    <w:rsid w:val="28F811E9"/>
    <w:rsid w:val="29A504DF"/>
    <w:rsid w:val="2A84577B"/>
    <w:rsid w:val="2B467459"/>
    <w:rsid w:val="2CB745EA"/>
    <w:rsid w:val="2CF02B2B"/>
    <w:rsid w:val="2DA86530"/>
    <w:rsid w:val="2DC10232"/>
    <w:rsid w:val="2F0C4A5D"/>
    <w:rsid w:val="2FEE50B1"/>
    <w:rsid w:val="301D4299"/>
    <w:rsid w:val="30382AD8"/>
    <w:rsid w:val="30387671"/>
    <w:rsid w:val="30A57A79"/>
    <w:rsid w:val="30CA1C03"/>
    <w:rsid w:val="31B878E1"/>
    <w:rsid w:val="32472899"/>
    <w:rsid w:val="339A00B5"/>
    <w:rsid w:val="34583D23"/>
    <w:rsid w:val="376E22A9"/>
    <w:rsid w:val="37881E49"/>
    <w:rsid w:val="393C3E57"/>
    <w:rsid w:val="3A271511"/>
    <w:rsid w:val="3AB72D53"/>
    <w:rsid w:val="3C4B19ED"/>
    <w:rsid w:val="3CCB4DCF"/>
    <w:rsid w:val="3CF46076"/>
    <w:rsid w:val="407A6410"/>
    <w:rsid w:val="40A62149"/>
    <w:rsid w:val="440D6D52"/>
    <w:rsid w:val="44BC0EC5"/>
    <w:rsid w:val="46B13387"/>
    <w:rsid w:val="47003F50"/>
    <w:rsid w:val="473345FA"/>
    <w:rsid w:val="47C83C74"/>
    <w:rsid w:val="482A03A8"/>
    <w:rsid w:val="49AE3A4E"/>
    <w:rsid w:val="4A865311"/>
    <w:rsid w:val="4A8C77D9"/>
    <w:rsid w:val="4AD11BE1"/>
    <w:rsid w:val="4CA11DC3"/>
    <w:rsid w:val="4EBB0839"/>
    <w:rsid w:val="4FB04470"/>
    <w:rsid w:val="5297584D"/>
    <w:rsid w:val="541F0555"/>
    <w:rsid w:val="54471223"/>
    <w:rsid w:val="54792E3D"/>
    <w:rsid w:val="548A59F8"/>
    <w:rsid w:val="54DB1FCB"/>
    <w:rsid w:val="54EB7796"/>
    <w:rsid w:val="56021B29"/>
    <w:rsid w:val="56917B91"/>
    <w:rsid w:val="56D2181A"/>
    <w:rsid w:val="572D3536"/>
    <w:rsid w:val="59134EC0"/>
    <w:rsid w:val="59885EF4"/>
    <w:rsid w:val="5A0D33BD"/>
    <w:rsid w:val="5DA169E5"/>
    <w:rsid w:val="5E583259"/>
    <w:rsid w:val="609D6375"/>
    <w:rsid w:val="615A3AE7"/>
    <w:rsid w:val="64750A9E"/>
    <w:rsid w:val="660A6677"/>
    <w:rsid w:val="66897633"/>
    <w:rsid w:val="66A03087"/>
    <w:rsid w:val="66E76C89"/>
    <w:rsid w:val="676E2426"/>
    <w:rsid w:val="68557375"/>
    <w:rsid w:val="68F96E37"/>
    <w:rsid w:val="6958084B"/>
    <w:rsid w:val="69D56401"/>
    <w:rsid w:val="6A664962"/>
    <w:rsid w:val="6ABE647F"/>
    <w:rsid w:val="6B0A3AD2"/>
    <w:rsid w:val="6B1E73CA"/>
    <w:rsid w:val="6C901B6F"/>
    <w:rsid w:val="6D096FB4"/>
    <w:rsid w:val="6D445724"/>
    <w:rsid w:val="6DC20379"/>
    <w:rsid w:val="700D6EA7"/>
    <w:rsid w:val="70545BA6"/>
    <w:rsid w:val="707D4620"/>
    <w:rsid w:val="70950C1F"/>
    <w:rsid w:val="70A27315"/>
    <w:rsid w:val="71945189"/>
    <w:rsid w:val="71FC2290"/>
    <w:rsid w:val="72351C54"/>
    <w:rsid w:val="72725A8D"/>
    <w:rsid w:val="72A05B03"/>
    <w:rsid w:val="72CB5D2F"/>
    <w:rsid w:val="73116555"/>
    <w:rsid w:val="73B13A3B"/>
    <w:rsid w:val="73C066F6"/>
    <w:rsid w:val="74D06FF2"/>
    <w:rsid w:val="7521699E"/>
    <w:rsid w:val="75F77178"/>
    <w:rsid w:val="76EF29E0"/>
    <w:rsid w:val="774359B9"/>
    <w:rsid w:val="777476B1"/>
    <w:rsid w:val="77763C02"/>
    <w:rsid w:val="77797E6B"/>
    <w:rsid w:val="79312F28"/>
    <w:rsid w:val="7A6A54E3"/>
    <w:rsid w:val="7B18216B"/>
    <w:rsid w:val="7C0B0F1B"/>
    <w:rsid w:val="7CBC6FB1"/>
    <w:rsid w:val="7CF37D97"/>
    <w:rsid w:val="7D821FA4"/>
    <w:rsid w:val="7F743D5F"/>
    <w:rsid w:val="7FBA5D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character" w:default="1" w:styleId="9">
    <w:name w:val="Default Paragraph Font"/>
    <w:autoRedefine/>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spacing w:line="440" w:lineRule="exact"/>
    </w:pPr>
    <w:rPr>
      <w:rFonts w:ascii="华文细黑" w:hAnsi="华文细黑" w:eastAsia="华文细黑"/>
      <w:b/>
      <w:bCs/>
      <w:w w:val="90"/>
      <w:sz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eastAsia="宋体" w:cs="Times New Roman"/>
      <w:sz w:val="24"/>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autoRedefine/>
    <w:qFormat/>
    <w:uiPriority w:val="0"/>
    <w:rPr>
      <w:b/>
    </w:rPr>
  </w:style>
  <w:style w:type="character" w:styleId="11">
    <w:name w:val="FollowedHyperlink"/>
    <w:basedOn w:val="9"/>
    <w:autoRedefine/>
    <w:qFormat/>
    <w:uiPriority w:val="0"/>
    <w:rPr>
      <w:color w:val="333333"/>
      <w:u w:val="none"/>
    </w:rPr>
  </w:style>
  <w:style w:type="character" w:styleId="12">
    <w:name w:val="HTML Definition"/>
    <w:basedOn w:val="9"/>
    <w:autoRedefine/>
    <w:qFormat/>
    <w:uiPriority w:val="0"/>
    <w:rPr>
      <w:i/>
    </w:rPr>
  </w:style>
  <w:style w:type="character" w:styleId="13">
    <w:name w:val="Hyperlink"/>
    <w:basedOn w:val="9"/>
    <w:autoRedefine/>
    <w:qFormat/>
    <w:uiPriority w:val="0"/>
    <w:rPr>
      <w:color w:val="333333"/>
      <w:u w:val="none"/>
    </w:rPr>
  </w:style>
  <w:style w:type="character" w:styleId="14">
    <w:name w:val="HTML Code"/>
    <w:basedOn w:val="9"/>
    <w:autoRedefine/>
    <w:qFormat/>
    <w:uiPriority w:val="0"/>
    <w:rPr>
      <w:rFonts w:ascii="Consolas" w:hAnsi="Consolas" w:eastAsia="Consolas" w:cs="Consolas"/>
      <w:color w:val="C7254E"/>
      <w:sz w:val="21"/>
      <w:szCs w:val="21"/>
      <w:bdr w:val="single" w:color="E1E1E1" w:sz="6" w:space="0"/>
      <w:shd w:val="clear" w:fill="F9F2F4"/>
    </w:rPr>
  </w:style>
  <w:style w:type="character" w:styleId="15">
    <w:name w:val="HTML Keyboard"/>
    <w:basedOn w:val="9"/>
    <w:qFormat/>
    <w:uiPriority w:val="0"/>
    <w:rPr>
      <w:rFonts w:hint="default" w:ascii="Consolas" w:hAnsi="Consolas" w:eastAsia="Consolas" w:cs="Consolas"/>
      <w:color w:val="FFFFFF"/>
      <w:sz w:val="21"/>
      <w:szCs w:val="21"/>
      <w:shd w:val="clear" w:fill="333333"/>
    </w:rPr>
  </w:style>
  <w:style w:type="character" w:styleId="16">
    <w:name w:val="HTML Sample"/>
    <w:basedOn w:val="9"/>
    <w:qFormat/>
    <w:uiPriority w:val="0"/>
    <w:rPr>
      <w:rFonts w:hint="default" w:ascii="Consolas" w:hAnsi="Consolas" w:eastAsia="Consolas" w:cs="Consolas"/>
      <w:sz w:val="21"/>
      <w:szCs w:val="21"/>
    </w:rPr>
  </w:style>
  <w:style w:type="paragraph" w:customStyle="1" w:styleId="17">
    <w:name w:val="正文表格"/>
    <w:basedOn w:val="1"/>
    <w:autoRedefine/>
    <w:qFormat/>
    <w:uiPriority w:val="0"/>
    <w:pPr>
      <w:spacing w:before="60" w:after="60"/>
    </w:pPr>
    <w:rPr>
      <w:sz w:val="24"/>
    </w:rPr>
  </w:style>
  <w:style w:type="character" w:customStyle="1" w:styleId="18">
    <w:name w:val="fc-green"/>
    <w:basedOn w:val="9"/>
    <w:qFormat/>
    <w:uiPriority w:val="0"/>
    <w:rPr>
      <w:color w:val="262626"/>
    </w:rPr>
  </w:style>
  <w:style w:type="character" w:customStyle="1" w:styleId="19">
    <w:name w:val="txt1"/>
    <w:basedOn w:val="9"/>
    <w:autoRedefine/>
    <w:qFormat/>
    <w:uiPriority w:val="0"/>
    <w:rPr>
      <w:color w:val="555555"/>
    </w:rPr>
  </w:style>
  <w:style w:type="paragraph" w:customStyle="1" w:styleId="20">
    <w:name w:val="jieshao-info"/>
    <w:basedOn w:val="1"/>
    <w:autoRedefine/>
    <w:qFormat/>
    <w:uiPriority w:val="0"/>
    <w:pPr>
      <w:pBdr>
        <w:top w:val="none" w:color="auto" w:sz="0" w:space="0"/>
        <w:left w:val="none" w:color="auto" w:sz="0" w:space="0"/>
        <w:bottom w:val="none" w:color="auto" w:sz="0" w:space="0"/>
        <w:right w:val="none" w:color="auto" w:sz="0" w:space="0"/>
      </w:pBdr>
      <w:spacing w:line="420" w:lineRule="atLeast"/>
      <w:jc w:val="left"/>
    </w:pPr>
    <w:rPr>
      <w:color w:val="666666"/>
      <w:kern w:val="0"/>
      <w:sz w:val="21"/>
      <w:szCs w:val="21"/>
      <w:lang w:val="en-US" w:eastAsia="zh-CN" w:bidi="ar"/>
    </w:rPr>
  </w:style>
  <w:style w:type="character" w:customStyle="1" w:styleId="21">
    <w:name w:val="fc-org2"/>
    <w:basedOn w:val="9"/>
    <w:autoRedefine/>
    <w:qFormat/>
    <w:uiPriority w:val="0"/>
    <w:rPr>
      <w:color w:val="262626"/>
    </w:rPr>
  </w:style>
  <w:style w:type="character" w:customStyle="1" w:styleId="22">
    <w:name w:val="fc-org3"/>
    <w:basedOn w:val="9"/>
    <w:autoRedefine/>
    <w:qFormat/>
    <w:uiPriority w:val="0"/>
    <w:rPr>
      <w:color w:val="48BD1C"/>
    </w:rPr>
  </w:style>
  <w:style w:type="character" w:customStyle="1" w:styleId="23">
    <w:name w:val="fc-blue"/>
    <w:basedOn w:val="9"/>
    <w:autoRedefine/>
    <w:qFormat/>
    <w:uiPriority w:val="0"/>
    <w:rPr>
      <w:color w:val="262626"/>
    </w:rPr>
  </w:style>
  <w:style w:type="character" w:customStyle="1" w:styleId="24">
    <w:name w:val="fc-blue1"/>
    <w:basedOn w:val="9"/>
    <w:qFormat/>
    <w:uiPriority w:val="0"/>
    <w:rPr>
      <w:color w:val="57A5FF"/>
    </w:rPr>
  </w:style>
  <w:style w:type="character" w:customStyle="1" w:styleId="25">
    <w:name w:val="fc-red2"/>
    <w:basedOn w:val="9"/>
    <w:autoRedefine/>
    <w:qFormat/>
    <w:uiPriority w:val="0"/>
    <w:rPr>
      <w:color w:val="262626"/>
    </w:rPr>
  </w:style>
  <w:style w:type="character" w:customStyle="1" w:styleId="26">
    <w:name w:val="fc-red3"/>
    <w:basedOn w:val="9"/>
    <w:qFormat/>
    <w:uiPriority w:val="0"/>
    <w:rPr>
      <w:color w:val="FF5A00"/>
    </w:rPr>
  </w:style>
  <w:style w:type="character" w:customStyle="1" w:styleId="27">
    <w:name w:val="last-child1"/>
    <w:basedOn w:val="9"/>
    <w:autoRedefine/>
    <w:qFormat/>
    <w:uiPriority w:val="0"/>
  </w:style>
  <w:style w:type="character" w:customStyle="1" w:styleId="28">
    <w:name w:val="last-child2"/>
    <w:basedOn w:val="9"/>
    <w:autoRedefine/>
    <w:qFormat/>
    <w:uiPriority w:val="0"/>
  </w:style>
  <w:style w:type="character" w:customStyle="1" w:styleId="29">
    <w:name w:val="jmws"/>
    <w:basedOn w:val="9"/>
    <w:autoRedefine/>
    <w:qFormat/>
    <w:uiPriority w:val="0"/>
    <w:rPr>
      <w:color w:val="FF0000"/>
    </w:rPr>
  </w:style>
  <w:style w:type="character" w:customStyle="1" w:styleId="30">
    <w:name w:val="jmws1"/>
    <w:basedOn w:val="9"/>
    <w:qFormat/>
    <w:uiPriority w:val="0"/>
    <w:rPr>
      <w:color w:val="FFFFFF"/>
    </w:rPr>
  </w:style>
  <w:style w:type="character" w:customStyle="1" w:styleId="31">
    <w:name w:val="arial"/>
    <w:basedOn w:val="9"/>
    <w:qFormat/>
    <w:uiPriority w:val="0"/>
    <w:rPr>
      <w:rFonts w:ascii="Arial" w:hAnsi="Arial" w:cs="Arial"/>
    </w:rPr>
  </w:style>
  <w:style w:type="character" w:customStyle="1" w:styleId="32">
    <w:name w:val="xh"/>
    <w:basedOn w:val="9"/>
    <w:autoRedefine/>
    <w:qFormat/>
    <w:uiPriority w:val="0"/>
    <w:rPr>
      <w:b/>
      <w:i/>
      <w:color w:val="FF4400"/>
      <w:sz w:val="21"/>
      <w:szCs w:val="21"/>
    </w:rPr>
  </w:style>
  <w:style w:type="character" w:customStyle="1" w:styleId="33">
    <w:name w:val="on2"/>
    <w:basedOn w:val="9"/>
    <w:autoRedefine/>
    <w:qFormat/>
    <w:uiPriority w:val="0"/>
    <w:rPr>
      <w:shd w:val="clear" w:fill="FFD800"/>
    </w:rPr>
  </w:style>
  <w:style w:type="character" w:customStyle="1" w:styleId="34">
    <w:name w:val="on3"/>
    <w:basedOn w:val="9"/>
    <w:autoRedefine/>
    <w:qFormat/>
    <w:uiPriority w:val="0"/>
    <w:rPr>
      <w:shd w:val="clear" w:fill="FFD800"/>
    </w:rPr>
  </w:style>
  <w:style w:type="character" w:customStyle="1" w:styleId="35">
    <w:name w:val="on4"/>
    <w:basedOn w:val="9"/>
    <w:autoRedefine/>
    <w:qFormat/>
    <w:uiPriority w:val="0"/>
    <w:rPr>
      <w:shd w:val="clear" w:fill="FFD800"/>
    </w:rPr>
  </w:style>
  <w:style w:type="paragraph" w:customStyle="1" w:styleId="36">
    <w:name w:val="1"/>
    <w:basedOn w:val="1"/>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2900</Words>
  <Characters>3083</Characters>
  <Lines>0</Lines>
  <Paragraphs>0</Paragraphs>
  <TotalTime>3</TotalTime>
  <ScaleCrop>false</ScaleCrop>
  <LinksUpToDate>false</LinksUpToDate>
  <CharactersWithSpaces>3477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2020-09-08T08:09:00Z</dcterms:created>
  <dc:creator>李商</dc:creator>
  <cp:lastModifiedBy>柚屿呀</cp:lastModifiedBy>
  <cp:lastPrinted>2026-07-15T02:34:54Z</cp:lastPrinted>
  <dcterms:modified xsi:type="dcterms:W3CDTF">2026-07-15T02:38:17Z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1C6624C43376426FA185740AD9A11335_13</vt:lpwstr>
  </property>
  <property fmtid="{D5CDD505-2E9C-101B-9397-08002B2CF9AE}" pid="4" name="KSOTemplateDocerSaveRecord">
    <vt:lpwstr>eyJoZGlkIjoiM2FmZTJhMWU5NjU5NzNmMzU0M2EyNDkyYzVlNmFjYjMiLCJ1c2VySWQiOiIxMDMzOTQyMDI4In0=</vt:lpwstr>
  </property>
</Properties>
</file>