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FDAFF">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799D49B2">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2EAF2C26">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244724A3">
      <w:pPr>
        <w:pStyle w:val="5"/>
        <w:ind w:firstLine="0"/>
        <w:jc w:val="left"/>
        <w:rPr>
          <w:rFonts w:ascii="仿宋_GB2312" w:hAnsi="仿宋_GB2312" w:eastAsia="仿宋_GB2312" w:cs="仿宋_GB2312"/>
          <w:color w:val="C00000"/>
          <w:sz w:val="30"/>
          <w:szCs w:val="30"/>
        </w:rPr>
      </w:pPr>
    </w:p>
    <w:p w14:paraId="7737E42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54E1FF9C">
      <w:pPr>
        <w:pStyle w:val="5"/>
        <w:ind w:firstLine="0"/>
        <w:jc w:val="left"/>
        <w:rPr>
          <w:rFonts w:ascii="仿宋_GB2312" w:hAnsi="仿宋_GB2312" w:eastAsia="仿宋_GB2312" w:cs="仿宋_GB2312"/>
          <w:color w:val="C00000"/>
          <w:sz w:val="30"/>
          <w:szCs w:val="30"/>
        </w:rPr>
      </w:pPr>
    </w:p>
    <w:p w14:paraId="5A9247B6">
      <w:pPr>
        <w:pStyle w:val="5"/>
        <w:jc w:val="left"/>
        <w:rPr>
          <w:rFonts w:ascii="仿宋_GB2312" w:hAnsi="仿宋_GB2312" w:eastAsia="仿宋_GB2312" w:cs="仿宋_GB2312"/>
          <w:color w:val="C00000"/>
          <w:sz w:val="30"/>
          <w:szCs w:val="30"/>
        </w:rPr>
      </w:pPr>
    </w:p>
    <w:p w14:paraId="184D63E0">
      <w:pPr>
        <w:pStyle w:val="5"/>
        <w:jc w:val="left"/>
        <w:rPr>
          <w:rFonts w:ascii="仿宋_GB2312" w:hAnsi="仿宋_GB2312" w:eastAsia="仿宋_GB2312" w:cs="仿宋_GB2312"/>
          <w:color w:val="C00000"/>
          <w:sz w:val="30"/>
          <w:szCs w:val="30"/>
        </w:rPr>
      </w:pPr>
    </w:p>
    <w:p w14:paraId="2251377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1631BDA6">
      <w:pPr>
        <w:pStyle w:val="5"/>
        <w:ind w:firstLine="0"/>
        <w:jc w:val="left"/>
        <w:rPr>
          <w:rFonts w:ascii="仿宋_GB2312" w:hAnsi="仿宋_GB2312" w:eastAsia="仿宋_GB2312" w:cs="仿宋_GB2312"/>
          <w:color w:val="C00000"/>
          <w:sz w:val="30"/>
          <w:szCs w:val="30"/>
        </w:rPr>
      </w:pPr>
    </w:p>
    <w:p w14:paraId="643FFFC5">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6316CF17">
      <w:pPr>
        <w:pStyle w:val="5"/>
        <w:jc w:val="left"/>
        <w:rPr>
          <w:rFonts w:ascii="仿宋_GB2312" w:hAnsi="仿宋_GB2312" w:eastAsia="仿宋_GB2312" w:cs="仿宋_GB2312"/>
          <w:color w:val="auto"/>
          <w:sz w:val="30"/>
          <w:szCs w:val="30"/>
        </w:rPr>
      </w:pPr>
    </w:p>
    <w:p w14:paraId="1EDB6FE6">
      <w:pPr>
        <w:pStyle w:val="5"/>
        <w:jc w:val="left"/>
        <w:rPr>
          <w:rFonts w:ascii="仿宋_GB2312" w:hAnsi="仿宋_GB2312" w:eastAsia="仿宋_GB2312" w:cs="仿宋_GB2312"/>
          <w:color w:val="auto"/>
          <w:sz w:val="30"/>
          <w:szCs w:val="30"/>
        </w:rPr>
      </w:pPr>
    </w:p>
    <w:p w14:paraId="2EF0CE5A">
      <w:pPr>
        <w:pStyle w:val="5"/>
        <w:jc w:val="left"/>
        <w:rPr>
          <w:rFonts w:ascii="仿宋_GB2312" w:hAnsi="仿宋_GB2312" w:eastAsia="仿宋_GB2312" w:cs="仿宋_GB2312"/>
          <w:color w:val="auto"/>
          <w:sz w:val="30"/>
          <w:szCs w:val="30"/>
        </w:rPr>
      </w:pPr>
    </w:p>
    <w:p w14:paraId="6A5B8766">
      <w:pPr>
        <w:pStyle w:val="5"/>
        <w:jc w:val="left"/>
        <w:rPr>
          <w:rFonts w:ascii="仿宋_GB2312" w:hAnsi="仿宋_GB2312" w:eastAsia="仿宋_GB2312" w:cs="仿宋_GB2312"/>
          <w:color w:val="auto"/>
          <w:sz w:val="30"/>
          <w:szCs w:val="30"/>
        </w:rPr>
      </w:pPr>
    </w:p>
    <w:p w14:paraId="24A1B683">
      <w:pPr>
        <w:pStyle w:val="5"/>
        <w:jc w:val="left"/>
        <w:rPr>
          <w:rFonts w:ascii="仿宋_GB2312" w:hAnsi="仿宋_GB2312" w:eastAsia="仿宋_GB2312" w:cs="仿宋_GB2312"/>
          <w:color w:val="auto"/>
          <w:sz w:val="30"/>
          <w:szCs w:val="30"/>
        </w:rPr>
      </w:pPr>
    </w:p>
    <w:p w14:paraId="7F613916">
      <w:pPr>
        <w:pStyle w:val="5"/>
        <w:jc w:val="left"/>
        <w:rPr>
          <w:rFonts w:ascii="仿宋_GB2312" w:hAnsi="仿宋_GB2312" w:eastAsia="仿宋_GB2312" w:cs="仿宋_GB2312"/>
          <w:color w:val="auto"/>
          <w:sz w:val="30"/>
          <w:szCs w:val="30"/>
        </w:rPr>
      </w:pPr>
    </w:p>
    <w:p w14:paraId="1E4F4EAA">
      <w:pPr>
        <w:pStyle w:val="5"/>
        <w:jc w:val="left"/>
        <w:rPr>
          <w:rFonts w:ascii="仿宋_GB2312" w:hAnsi="仿宋_GB2312" w:eastAsia="仿宋_GB2312" w:cs="仿宋_GB2312"/>
          <w:color w:val="auto"/>
          <w:sz w:val="30"/>
          <w:szCs w:val="30"/>
        </w:rPr>
      </w:pPr>
    </w:p>
    <w:p w14:paraId="0A606F86">
      <w:pPr>
        <w:pStyle w:val="5"/>
        <w:jc w:val="left"/>
        <w:rPr>
          <w:rFonts w:ascii="仿宋_GB2312" w:hAnsi="仿宋_GB2312" w:eastAsia="仿宋_GB2312" w:cs="仿宋_GB2312"/>
          <w:color w:val="auto"/>
          <w:sz w:val="30"/>
          <w:szCs w:val="30"/>
        </w:rPr>
      </w:pPr>
    </w:p>
    <w:p w14:paraId="32E8A4BA">
      <w:pPr>
        <w:jc w:val="left"/>
        <w:rPr>
          <w:color w:val="auto"/>
        </w:rPr>
        <w:sectPr>
          <w:pgSz w:w="11906" w:h="16838"/>
          <w:pgMar w:top="1440" w:right="1800" w:bottom="1440" w:left="1800" w:header="851" w:footer="992" w:gutter="0"/>
          <w:cols w:space="425" w:num="1"/>
          <w:docGrid w:type="lines" w:linePitch="312" w:charSpace="0"/>
        </w:sectPr>
      </w:pPr>
    </w:p>
    <w:p w14:paraId="55499F6A">
      <w:pPr>
        <w:pStyle w:val="3"/>
        <w:spacing w:line="240" w:lineRule="auto"/>
        <w:rPr>
          <w:rFonts w:ascii="黑体" w:hAnsi="黑体"/>
          <w:color w:val="auto"/>
        </w:rPr>
      </w:pPr>
      <w:bookmarkStart w:id="1" w:name="_Toc20910"/>
      <w:bookmarkStart w:id="2" w:name="_Toc21422"/>
      <w:bookmarkStart w:id="3" w:name="_Toc21762"/>
      <w:bookmarkStart w:id="4" w:name="_Toc32320"/>
      <w:bookmarkStart w:id="5" w:name="_Toc24454"/>
      <w:bookmarkStart w:id="6" w:name="_Toc15737"/>
      <w:bookmarkStart w:id="7" w:name="_Toc11918"/>
      <w:bookmarkStart w:id="8" w:name="_Toc7615"/>
      <w:bookmarkStart w:id="9" w:name="_Toc25712"/>
      <w:bookmarkStart w:id="10" w:name="_Toc12789"/>
      <w:bookmarkStart w:id="11" w:name="_Toc8396"/>
      <w:bookmarkStart w:id="12" w:name="_Toc29002"/>
      <w:bookmarkStart w:id="13" w:name="_Toc13462"/>
      <w:bookmarkStart w:id="14" w:name="_Toc20033"/>
      <w:bookmarkStart w:id="15" w:name="_Toc24068"/>
      <w:bookmarkStart w:id="16" w:name="_Toc24727"/>
      <w:r>
        <w:rPr>
          <w:rFonts w:hint="eastAsia" w:ascii="黑体" w:hAnsi="黑体"/>
          <w:color w:val="auto"/>
        </w:rPr>
        <w:t>网络竞价须知</w:t>
      </w:r>
      <w:bookmarkEnd w:id="1"/>
      <w:bookmarkEnd w:id="2"/>
      <w:bookmarkEnd w:id="3"/>
      <w:bookmarkEnd w:id="4"/>
      <w:bookmarkEnd w:id="5"/>
      <w:bookmarkEnd w:id="6"/>
      <w:bookmarkEnd w:id="7"/>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海南天然橡胶产业集团股份有限公司立才分公司共9宗管护房出租</w:t>
      </w:r>
      <w:r>
        <w:rPr>
          <w:rFonts w:hint="eastAsia" w:ascii="新宋体" w:hAnsi="新宋体" w:eastAsia="新宋体"/>
          <w:b/>
          <w:bCs/>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5C1F74C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316194BF">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B011AC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EAC82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139E6F20">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13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w:t>
      </w:r>
      <w:r>
        <w:rPr>
          <w:rFonts w:hint="eastAsia" w:ascii="新宋体" w:hAnsi="新宋体" w:eastAsia="新宋体" w:cs="Times New Roman"/>
          <w:b/>
          <w:bCs/>
          <w:color w:val="auto"/>
          <w:sz w:val="28"/>
          <w:szCs w:val="28"/>
          <w:lang w:val="en-US" w:eastAsia="zh-CN"/>
        </w:rPr>
        <w:t>竞买</w:t>
      </w:r>
      <w:r>
        <w:rPr>
          <w:rFonts w:hint="eastAsia" w:ascii="新宋体" w:hAnsi="新宋体" w:eastAsia="新宋体" w:cs="Times New Roman"/>
          <w:b/>
          <w:bCs/>
          <w:color w:val="auto"/>
          <w:sz w:val="28"/>
          <w:szCs w:val="28"/>
        </w:rPr>
        <w:t>方取得竞拍资格。</w:t>
      </w:r>
    </w:p>
    <w:p w14:paraId="7374AA14">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4AC6">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461D73EC">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2397CDE5">
      <w:pPr>
        <w:spacing w:line="240" w:lineRule="auto"/>
        <w:ind w:firstLine="562" w:firstLineChars="200"/>
        <w:jc w:val="left"/>
        <w:rPr>
          <w:rFonts w:hint="eastAsia"/>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lang w:val="en-US" w:eastAsia="zh-CN"/>
        </w:rPr>
        <w:tab/>
      </w:r>
    </w:p>
    <w:p w14:paraId="259C5098">
      <w:pPr>
        <w:tabs>
          <w:tab w:val="left" w:pos="813"/>
        </w:tabs>
        <w:bidi w:val="0"/>
        <w:jc w:val="left"/>
        <w:rPr>
          <w:rFonts w:hint="eastAsia"/>
          <w:lang w:val="en-US" w:eastAsia="zh-CN"/>
        </w:rPr>
      </w:pPr>
      <w:r>
        <w:rPr>
          <w:rFonts w:hint="eastAsia"/>
          <w:lang w:val="en-US" w:eastAsia="zh-CN"/>
        </w:rPr>
        <w:drawing>
          <wp:inline distT="0" distB="0" distL="114300" distR="114300">
            <wp:extent cx="5261610" cy="5842635"/>
            <wp:effectExtent l="0" t="0" r="8890" b="12065"/>
            <wp:docPr id="4" name="图片 4" descr="建工9宗标的_Shee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建工9宗标的_Sheet1"/>
                    <pic:cNvPicPr>
                      <a:picLocks noChangeAspect="1"/>
                    </pic:cNvPicPr>
                  </pic:nvPicPr>
                  <pic:blipFill>
                    <a:blip r:embed="rId4"/>
                    <a:stretch>
                      <a:fillRect/>
                    </a:stretch>
                  </pic:blipFill>
                  <pic:spPr>
                    <a:xfrm>
                      <a:off x="0" y="0"/>
                      <a:ext cx="5261610" cy="5842635"/>
                    </a:xfrm>
                    <a:prstGeom prst="rect">
                      <a:avLst/>
                    </a:prstGeom>
                  </pic:spPr>
                </pic:pic>
              </a:graphicData>
            </a:graphic>
          </wp:inline>
        </w:drawing>
      </w:r>
    </w:p>
    <w:p w14:paraId="72973ED0">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79AB93D8">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4BAA29D">
      <w:pPr>
        <w:pStyle w:val="2"/>
        <w:numPr>
          <w:ilvl w:val="0"/>
          <w:numId w:val="2"/>
        </w:numPr>
        <w:spacing w:line="400" w:lineRule="exact"/>
        <w:ind w:left="0" w:leftChars="0" w:firstLine="562" w:firstLineChars="200"/>
        <w:rPr>
          <w:rFonts w:hint="eastAsia" w:ascii="新宋体" w:hAnsi="新宋体" w:eastAsia="新宋体" w:cs="Times New Roman"/>
          <w:color w:val="auto"/>
          <w:sz w:val="28"/>
          <w:szCs w:val="28"/>
          <w:lang w:val="en-US" w:eastAsia="zh-CN"/>
        </w:rPr>
      </w:pPr>
      <w:r>
        <w:rPr>
          <w:rFonts w:hint="eastAsia" w:ascii="新宋体" w:hAnsi="新宋体" w:eastAsia="新宋体" w:cs="Times New Roman"/>
          <w:color w:val="auto"/>
          <w:sz w:val="28"/>
          <w:szCs w:val="28"/>
        </w:rPr>
        <w:t>本次竞价加（减）价阶梯为人民币：</w:t>
      </w:r>
      <w:r>
        <w:rPr>
          <w:rFonts w:hint="eastAsia" w:ascii="新宋体" w:hAnsi="新宋体" w:eastAsia="新宋体" w:cs="Times New Roman"/>
          <w:color w:val="auto"/>
          <w:sz w:val="28"/>
          <w:szCs w:val="28"/>
          <w:lang w:val="en-US" w:eastAsia="zh-CN"/>
        </w:rPr>
        <w:t>以平台公示信息为准</w:t>
      </w:r>
    </w:p>
    <w:p w14:paraId="4F646994">
      <w:pPr>
        <w:pStyle w:val="2"/>
        <w:numPr>
          <w:ilvl w:val="0"/>
          <w:numId w:val="0"/>
        </w:numPr>
        <w:spacing w:line="4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0D60DC4C">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08-14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0E88208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2D6B34F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3F11DEF3">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5D39C7A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523C9F43">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443A47D0">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0E05CF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3839C10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1F2757C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0F9E58E5">
      <w:pPr>
        <w:pStyle w:val="11"/>
        <w:widowControl/>
        <w:shd w:val="clear" w:color="auto" w:fill="FFFFFF"/>
        <w:spacing w:beforeAutospacing="0" w:afterAutospacing="0" w:line="500" w:lineRule="exact"/>
        <w:ind w:firstLine="540" w:firstLineChars="20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b/>
          <w:bCs/>
          <w:color w:val="C00000"/>
          <w:kern w:val="2"/>
          <w:sz w:val="27"/>
          <w:szCs w:val="27"/>
          <w:shd w:val="clear" w:color="auto" w:fill="FFFFFF"/>
          <w:lang w:val="en-US" w:eastAsia="zh-CN"/>
        </w:rPr>
        <w:t>注：</w:t>
      </w:r>
      <w:r>
        <w:rPr>
          <w:rFonts w:hint="eastAsia" w:ascii="微软雅黑" w:hAnsi="微软雅黑" w:eastAsia="微软雅黑" w:cs="微软雅黑"/>
          <w:b/>
          <w:bCs/>
          <w:color w:val="C00000"/>
          <w:kern w:val="2"/>
          <w:sz w:val="27"/>
          <w:szCs w:val="27"/>
          <w:shd w:val="clear" w:color="auto" w:fill="FFFFFF"/>
        </w:rPr>
        <w:t>每笔交易最低收费300元</w:t>
      </w:r>
    </w:p>
    <w:p w14:paraId="7EE09207">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2CEC2A57">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0BD4931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40A99EB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66243E61">
      <w:pPr>
        <w:spacing w:line="520" w:lineRule="exact"/>
        <w:ind w:firstLine="540" w:firstLineChars="200"/>
        <w:rPr>
          <w:rFonts w:hint="eastAsia"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注：每笔交易最低收费</w:t>
      </w:r>
      <w:r>
        <w:rPr>
          <w:rFonts w:hint="eastAsia" w:ascii="微软雅黑" w:hAnsi="微软雅黑" w:eastAsia="微软雅黑" w:cs="微软雅黑"/>
          <w:b/>
          <w:bCs/>
          <w:color w:val="C00000"/>
          <w:sz w:val="27"/>
          <w:szCs w:val="27"/>
          <w:shd w:val="clear" w:color="auto" w:fill="FFFFFF"/>
          <w:lang w:val="en-US" w:eastAsia="zh-CN"/>
        </w:rPr>
        <w:t>500</w:t>
      </w:r>
      <w:r>
        <w:rPr>
          <w:rFonts w:hint="eastAsia" w:ascii="微软雅黑" w:hAnsi="微软雅黑" w:eastAsia="微软雅黑" w:cs="微软雅黑"/>
          <w:b/>
          <w:bCs/>
          <w:color w:val="C00000"/>
          <w:sz w:val="27"/>
          <w:szCs w:val="27"/>
          <w:shd w:val="clear" w:color="auto" w:fill="FFFFFF"/>
        </w:rPr>
        <w:t>元</w:t>
      </w:r>
    </w:p>
    <w:p w14:paraId="5592D9B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78F7B2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6F70025">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858DF25">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4C7D4E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759B5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BE6B24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7791749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4444C1">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4DF145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5ED6E0D">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707C359B">
      <w:pPr>
        <w:pStyle w:val="10"/>
        <w:ind w:left="2250" w:hanging="1200"/>
        <w:rPr>
          <w:color w:val="auto"/>
        </w:rPr>
      </w:pPr>
    </w:p>
    <w:p w14:paraId="4AC5A91F">
      <w:pPr>
        <w:rPr>
          <w:color w:val="auto"/>
        </w:rPr>
      </w:pPr>
    </w:p>
    <w:p w14:paraId="7E626F67">
      <w:pPr>
        <w:pStyle w:val="5"/>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3B21F1B0">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23E78C29">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4A580518">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海南天然橡胶产业集团股份有限公司立才分公司共9宗管护房出租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海南天然橡胶产业集团股份有限公司立才分公司共9宗管护房出租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海南天然橡胶产业集团股份有限公司立才分公司共9宗管护房出租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630BE15D">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仿宋_GB2312" w:hAnsi="仿宋_GB2312" w:cs="仿宋_GB2312" w:eastAsiaTheme="minorEastAsia"/>
          <w:color w:val="auto"/>
          <w:sz w:val="30"/>
          <w:szCs w:val="30"/>
          <w:lang w:eastAsia="zh-CN"/>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5"/>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04A26503">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8</w:t>
      </w:r>
      <w:r>
        <w:rPr>
          <w:rFonts w:hint="eastAsia" w:ascii="仿宋_GB2312" w:hAnsi="仿宋_GB2312" w:eastAsia="仿宋_GB2312" w:cs="仿宋_GB2312"/>
          <w:b/>
          <w:color w:val="auto"/>
          <w:sz w:val="36"/>
          <w:szCs w:val="30"/>
        </w:rPr>
        <w:t>月</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ascii="仿宋" w:hAnsi="仿宋"/>
          <w:bCs/>
          <w:color w:val="auto"/>
          <w:szCs w:val="36"/>
        </w:rPr>
      </w:pPr>
      <w:r>
        <w:rPr>
          <w:rFonts w:hint="eastAsia"/>
          <w:bCs/>
          <w:color w:val="auto"/>
          <w:szCs w:val="36"/>
        </w:rPr>
        <w:t>意向承租（受让）函</w:t>
      </w:r>
    </w:p>
    <w:p w14:paraId="0474E8C9">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0FE0754C">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eastAsia="zh-CN"/>
        </w:rPr>
        <w:t>海南天然橡胶产业集团股份有限公司立才分公司共9宗管护房出租</w:t>
      </w:r>
      <w:r>
        <w:rPr>
          <w:rFonts w:hint="eastAsia" w:ascii="Times New Roman" w:hAnsi="Times New Roman"/>
          <w:bCs/>
          <w:color w:val="auto"/>
          <w:sz w:val="24"/>
        </w:rPr>
        <w:t>，并承诺：</w:t>
      </w:r>
    </w:p>
    <w:p w14:paraId="66E36E1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5C980B9B">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24C8583C">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5B5BCB3D">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CE152A5">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48512979">
      <w:pPr>
        <w:spacing w:line="440" w:lineRule="exact"/>
        <w:ind w:firstLine="482" w:firstLineChars="200"/>
        <w:rPr>
          <w:rFonts w:ascii="Times New Roman" w:hAnsi="Times New Roman"/>
          <w:b/>
          <w:color w:val="auto"/>
          <w:sz w:val="24"/>
        </w:rPr>
      </w:pPr>
      <w:bookmarkStart w:id="17" w:name="_Toc28981"/>
      <w:bookmarkStart w:id="18" w:name="_Toc11532"/>
      <w:bookmarkStart w:id="19" w:name="_Toc13357"/>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3FB280D4">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3D1B95F">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678865FC">
      <w:pPr>
        <w:pStyle w:val="5"/>
        <w:spacing w:line="440" w:lineRule="exact"/>
        <w:rPr>
          <w:rFonts w:ascii="Times New Roman" w:hAnsi="Times New Roman"/>
          <w:bCs/>
          <w:color w:val="auto"/>
          <w:sz w:val="28"/>
          <w:szCs w:val="24"/>
        </w:rPr>
      </w:pPr>
      <w:bookmarkStart w:id="20" w:name="_Toc31003"/>
      <w:bookmarkStart w:id="21" w:name="_Toc24611"/>
      <w:bookmarkStart w:id="22" w:name="_Toc7009"/>
      <w:r>
        <w:rPr>
          <w:rFonts w:hint="eastAsia" w:ascii="Times New Roman" w:hAnsi="Times New Roman"/>
          <w:b/>
          <w:color w:val="auto"/>
          <w:sz w:val="24"/>
          <w:szCs w:val="24"/>
        </w:rPr>
        <w:t>10、最终解释权归海南省数农产权运营管理有限公司。</w:t>
      </w:r>
      <w:bookmarkEnd w:id="20"/>
      <w:bookmarkEnd w:id="21"/>
      <w:bookmarkEnd w:id="22"/>
    </w:p>
    <w:p w14:paraId="14A4E8C0">
      <w:pPr>
        <w:spacing w:line="312" w:lineRule="auto"/>
        <w:ind w:firstLine="3840" w:firstLineChars="1600"/>
        <w:rPr>
          <w:rFonts w:ascii="宋体" w:hAnsi="宋体" w:eastAsia="宋体" w:cs="宋体"/>
          <w:color w:val="auto"/>
          <w:sz w:val="24"/>
        </w:rPr>
      </w:pPr>
    </w:p>
    <w:p w14:paraId="3C8EB2A6">
      <w:pPr>
        <w:spacing w:line="296" w:lineRule="auto"/>
        <w:ind w:firstLine="3840" w:firstLineChars="1600"/>
        <w:rPr>
          <w:rFonts w:ascii="宋体" w:hAnsi="宋体" w:eastAsia="宋体" w:cs="宋体"/>
          <w:color w:val="auto"/>
          <w:sz w:val="24"/>
          <w:u w:val="single"/>
        </w:rPr>
      </w:pPr>
      <w:bookmarkStart w:id="23" w:name="_Toc29057"/>
      <w:bookmarkStart w:id="24" w:name="_Toc4535"/>
      <w:bookmarkStart w:id="25" w:name="_Toc30986"/>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3CD1D0E7">
      <w:pPr>
        <w:spacing w:line="296" w:lineRule="auto"/>
        <w:ind w:firstLine="3840" w:firstLineChars="1600"/>
        <w:outlineLvl w:val="1"/>
        <w:rPr>
          <w:rFonts w:ascii="宋体" w:hAnsi="宋体" w:eastAsia="宋体" w:cs="宋体"/>
          <w:color w:val="auto"/>
          <w:sz w:val="24"/>
          <w:u w:val="single"/>
        </w:rPr>
      </w:pPr>
      <w:bookmarkStart w:id="26" w:name="_Toc9059"/>
      <w:bookmarkStart w:id="27" w:name="_Toc17490"/>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4A8064C5">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2A70383B">
      <w:pPr>
        <w:pStyle w:val="3"/>
        <w:spacing w:line="240" w:lineRule="auto"/>
        <w:rPr>
          <w:rFonts w:ascii="黑体" w:hAnsi="黑体"/>
          <w:color w:val="auto"/>
        </w:rPr>
      </w:pPr>
      <w:bookmarkStart w:id="28" w:name="_Toc12264"/>
      <w:bookmarkStart w:id="29" w:name="_Toc32101"/>
      <w:bookmarkStart w:id="30" w:name="_Toc14469"/>
      <w:bookmarkStart w:id="31" w:name="_Toc4580"/>
      <w:bookmarkStart w:id="32" w:name="_Toc11237"/>
      <w:bookmarkStart w:id="33" w:name="_Toc29841"/>
      <w:bookmarkStart w:id="34" w:name="_Toc13094"/>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pStyle w:val="2"/>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rPr>
                <w:rFonts w:ascii="宋体" w:hAnsi="宋体" w:eastAsia="宋体"/>
                <w:color w:val="auto"/>
                <w:sz w:val="22"/>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ascii="宋体" w:hAnsi="宋体" w:eastAsia="宋体"/>
                <w:color w:val="auto"/>
                <w:sz w:val="22"/>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ascii="宋体" w:hAnsi="宋体" w:eastAsia="宋体"/>
                <w:color w:val="auto"/>
                <w:sz w:val="22"/>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42CC675">
            <w:pPr>
              <w:spacing w:line="360" w:lineRule="auto"/>
              <w:rPr>
                <w:rFonts w:ascii="宋体" w:hAnsi="宋体" w:eastAsia="宋体"/>
                <w:color w:val="auto"/>
                <w:sz w:val="22"/>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ascii="宋体" w:hAnsi="宋体" w:eastAsia="宋体"/>
                <w:color w:val="auto"/>
                <w:sz w:val="22"/>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ascii="宋体" w:hAnsi="宋体" w:eastAsia="宋体"/>
                <w:color w:val="auto"/>
                <w:sz w:val="22"/>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微软雅黑" w:hAnsi="微软雅黑" w:eastAsia="微软雅黑" w:cs="微软雅黑"/>
          <w:b/>
          <w:bCs/>
          <w:color w:val="auto"/>
          <w:sz w:val="36"/>
          <w:szCs w:val="36"/>
          <w:u w:val="single"/>
        </w:rPr>
      </w:pPr>
    </w:p>
    <w:p w14:paraId="04B69615">
      <w:pPr>
        <w:spacing w:line="570" w:lineRule="exact"/>
        <w:jc w:val="center"/>
        <w:rPr>
          <w:rFonts w:hint="eastAsia" w:ascii="微软雅黑" w:hAnsi="微软雅黑" w:eastAsia="微软雅黑" w:cs="微软雅黑"/>
          <w:b/>
          <w:bCs/>
          <w:color w:val="auto"/>
          <w:sz w:val="36"/>
          <w:szCs w:val="36"/>
          <w:u w:val="single"/>
        </w:rPr>
      </w:pPr>
    </w:p>
    <w:p w14:paraId="3377BB91">
      <w:pPr>
        <w:spacing w:line="570" w:lineRule="exact"/>
        <w:jc w:val="center"/>
        <w:rPr>
          <w:rFonts w:hint="eastAsia" w:ascii="微软雅黑" w:hAnsi="微软雅黑" w:eastAsia="微软雅黑" w:cs="微软雅黑"/>
          <w:b/>
          <w:bCs/>
          <w:color w:val="auto"/>
          <w:sz w:val="36"/>
          <w:szCs w:val="36"/>
          <w:u w:val="single"/>
        </w:rPr>
      </w:pPr>
    </w:p>
    <w:p w14:paraId="16F2920D">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海南天然橡胶产业集团股份有限公司立才分公司共9宗管护房出租交易</w:t>
      </w:r>
      <w:r>
        <w:rPr>
          <w:rFonts w:hint="eastAsia" w:ascii="方正小标宋_GBK" w:hAnsi="方正小标宋_GBK" w:eastAsia="方正小标宋_GBK" w:cs="方正小标宋_GBK"/>
          <w:b/>
          <w:bCs/>
          <w:color w:val="auto"/>
          <w:sz w:val="36"/>
          <w:szCs w:val="36"/>
        </w:rPr>
        <w:t>公示</w:t>
      </w:r>
    </w:p>
    <w:p w14:paraId="12AF6930">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eastAsia="zh-CN"/>
        </w:rPr>
        <w:t>海南天然橡胶产业集团股份有限公司立才分公司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海南天然橡胶产业集团股份有限公司立才分公司共9宗管护房出租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52946015">
      <w:pPr>
        <w:numPr>
          <w:ilvl w:val="0"/>
          <w:numId w:val="0"/>
        </w:numPr>
        <w:spacing w:line="240" w:lineRule="auto"/>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eastAsia="zh-CN"/>
        </w:rPr>
        <w:drawing>
          <wp:inline distT="0" distB="0" distL="114300" distR="114300">
            <wp:extent cx="5253990" cy="3125470"/>
            <wp:effectExtent l="0" t="0" r="3810" b="11430"/>
            <wp:docPr id="5" name="图片 5" descr="建工9宗标的_项目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建工9宗标的_项目库"/>
                    <pic:cNvPicPr>
                      <a:picLocks noChangeAspect="1"/>
                    </pic:cNvPicPr>
                  </pic:nvPicPr>
                  <pic:blipFill>
                    <a:blip r:embed="rId5"/>
                    <a:stretch>
                      <a:fillRect/>
                    </a:stretch>
                  </pic:blipFill>
                  <pic:spPr>
                    <a:xfrm>
                      <a:off x="0" y="0"/>
                      <a:ext cx="5253990" cy="3125470"/>
                    </a:xfrm>
                    <a:prstGeom prst="rect">
                      <a:avLst/>
                    </a:prstGeom>
                  </pic:spPr>
                </pic:pic>
              </a:graphicData>
            </a:graphic>
          </wp:inline>
        </w:drawing>
      </w:r>
    </w:p>
    <w:p w14:paraId="5071C517">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w:t>
      </w:r>
      <w:r>
        <w:rPr>
          <w:rFonts w:ascii="宋体" w:hAnsi="宋体" w:eastAsia="宋体" w:cs="宋体"/>
          <w:sz w:val="28"/>
          <w:szCs w:val="28"/>
        </w:rPr>
        <w:t>租金一年一付</w:t>
      </w:r>
      <w:r>
        <w:rPr>
          <w:rFonts w:hint="eastAsia" w:asciiTheme="minorEastAsia" w:hAnsiTheme="minorEastAsia" w:cstheme="minorEastAsia"/>
          <w:color w:val="auto"/>
          <w:sz w:val="28"/>
          <w:szCs w:val="28"/>
          <w:lang w:val="en-US" w:eastAsia="zh-CN"/>
        </w:rPr>
        <w:t>，承租方应缴纳1000元作为履约保证金</w:t>
      </w:r>
    </w:p>
    <w:p w14:paraId="0452AC30">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eastAsiaTheme="minorEastAsia" w:cstheme="minorEastAsia"/>
          <w:color w:val="auto"/>
          <w:kern w:val="2"/>
          <w:sz w:val="28"/>
          <w:szCs w:val="28"/>
          <w:lang w:val="en-US" w:eastAsia="zh-CN" w:bidi="ar-SA"/>
        </w:rPr>
        <w:t>13907590281</w:t>
      </w:r>
    </w:p>
    <w:p w14:paraId="54F7E618">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监督电话：0898-65521815（报名热线）</w:t>
      </w:r>
    </w:p>
    <w:p w14:paraId="22AA48A7">
      <w:pPr>
        <w:spacing w:line="520" w:lineRule="exact"/>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rPr>
        <w:t>报名地址：海南省海口市龙华区金贸西路3-8号</w:t>
      </w:r>
      <w:bookmarkStart w:id="36" w:name="_GoBack"/>
      <w:bookmarkEnd w:id="36"/>
      <w:r>
        <w:rPr>
          <w:rFonts w:hint="eastAsia" w:asciiTheme="minorEastAsia" w:hAnsiTheme="minorEastAsia" w:eastAsiaTheme="minorEastAsia" w:cstheme="minorEastAsia"/>
          <w:color w:val="auto"/>
          <w:sz w:val="28"/>
          <w:szCs w:val="28"/>
        </w:rPr>
        <w:t>汇泰大厦二层</w:t>
      </w:r>
      <w:r>
        <w:rPr>
          <w:rFonts w:hint="eastAsia" w:asciiTheme="minorEastAsia" w:hAnsiTheme="minorEastAsia" w:cstheme="minorEastAsia"/>
          <w:color w:val="auto"/>
          <w:sz w:val="28"/>
          <w:szCs w:val="28"/>
          <w:lang w:eastAsia="zh-CN"/>
        </w:rPr>
        <w:t>。</w:t>
      </w:r>
    </w:p>
    <w:p w14:paraId="1C36EA52">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61309E14">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6"/>
                    <a:stretch>
                      <a:fillRect/>
                    </a:stretch>
                  </pic:blipFill>
                  <pic:spPr>
                    <a:xfrm>
                      <a:off x="0" y="0"/>
                      <a:ext cx="1177290" cy="1177290"/>
                    </a:xfrm>
                    <a:prstGeom prst="rect">
                      <a:avLst/>
                    </a:prstGeom>
                    <a:noFill/>
                    <a:ln w="9525">
                      <a:noFill/>
                    </a:ln>
                  </pic:spPr>
                </pic:pic>
              </a:graphicData>
            </a:graphic>
          </wp:anchor>
        </w:drawing>
      </w:r>
    </w:p>
    <w:p w14:paraId="2A9C0B32">
      <w:pPr>
        <w:pStyle w:val="5"/>
        <w:jc w:val="right"/>
        <w:rPr>
          <w:b/>
          <w:bCs/>
          <w:color w:val="auto"/>
          <w:sz w:val="28"/>
          <w:szCs w:val="36"/>
        </w:rPr>
      </w:pPr>
      <w:r>
        <w:rPr>
          <w:rFonts w:hint="eastAsia"/>
          <w:b/>
          <w:bCs/>
          <w:color w:val="auto"/>
          <w:sz w:val="28"/>
          <w:szCs w:val="36"/>
        </w:rPr>
        <w:t>已详细阅读此交易公示，对此交易公示内容无异议。</w:t>
      </w:r>
    </w:p>
    <w:p w14:paraId="1D3C857A">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5FCD391D">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32F9712E">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6641414-A82E-4304-98A9-A063ACD5B5D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9FE44871-1124-4A34-8EB9-E30182BF8A4F}"/>
  </w:font>
  <w:font w:name="新宋体">
    <w:panose1 w:val="02010609030101010101"/>
    <w:charset w:val="86"/>
    <w:family w:val="modern"/>
    <w:pitch w:val="default"/>
    <w:sig w:usb0="00000203" w:usb1="288F0000" w:usb2="00000006" w:usb3="00000000" w:csb0="00040001" w:csb1="00000000"/>
    <w:embedRegular r:id="rId3" w:fontKey="{EA562C7C-5F6E-4D1D-83E5-C1C5D3CE9B9B}"/>
  </w:font>
  <w:font w:name="微软雅黑">
    <w:panose1 w:val="020B0503020204020204"/>
    <w:charset w:val="86"/>
    <w:family w:val="swiss"/>
    <w:pitch w:val="default"/>
    <w:sig w:usb0="80000287" w:usb1="2ACF3C50" w:usb2="00000016" w:usb3="00000000" w:csb0="0004001F" w:csb1="00000000"/>
    <w:embedRegular r:id="rId4" w:fontKey="{0528489B-B838-427D-977C-780C410FC9F9}"/>
  </w:font>
  <w:font w:name="仿宋">
    <w:panose1 w:val="02010609060101010101"/>
    <w:charset w:val="86"/>
    <w:family w:val="modern"/>
    <w:pitch w:val="default"/>
    <w:sig w:usb0="800002BF" w:usb1="38CF7CFA" w:usb2="00000016" w:usb3="00000000" w:csb0="00040001" w:csb1="00000000"/>
    <w:embedRegular r:id="rId5" w:fontKey="{B760198D-BA32-4D11-822F-78BFFE7598E0}"/>
  </w:font>
  <w:font w:name="方正小标宋_GBK">
    <w:panose1 w:val="02000000000000000000"/>
    <w:charset w:val="86"/>
    <w:family w:val="auto"/>
    <w:pitch w:val="default"/>
    <w:sig w:usb0="A00002BF" w:usb1="38CF7CFA" w:usb2="00082016" w:usb3="00000000" w:csb0="00040001" w:csb1="00000000"/>
    <w:embedRegular r:id="rId6" w:fontKey="{A6E07665-5EC7-4000-BF88-1A87895DBA6C}"/>
  </w:font>
  <w:font w:name="WPSEMBED1">
    <w:panose1 w:val="02000000000000000000"/>
    <w:charset w:val="86"/>
    <w:family w:val="auto"/>
    <w:pitch w:val="default"/>
    <w:sig w:usb0="A00002BF" w:usb1="38CF7CFA" w:usb2="00082016" w:usb3="00000000" w:csb0="00040001"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 w:name="KSO_WPS_MARK_KEY" w:val="a071b07a-f89d-47b9-a9e7-8c7759051b1b"/>
  </w:docVars>
  <w:rsids>
    <w:rsidRoot w:val="00125DA0"/>
    <w:rsid w:val="00075E67"/>
    <w:rsid w:val="00125DA0"/>
    <w:rsid w:val="00167AC6"/>
    <w:rsid w:val="008C7583"/>
    <w:rsid w:val="00B57B36"/>
    <w:rsid w:val="00CD7376"/>
    <w:rsid w:val="00E03B4E"/>
    <w:rsid w:val="00E541D7"/>
    <w:rsid w:val="042277FF"/>
    <w:rsid w:val="04D6616D"/>
    <w:rsid w:val="063D26A3"/>
    <w:rsid w:val="06E002C9"/>
    <w:rsid w:val="070D1196"/>
    <w:rsid w:val="099E728A"/>
    <w:rsid w:val="0A8721A0"/>
    <w:rsid w:val="0B6D5DEB"/>
    <w:rsid w:val="0B7B2128"/>
    <w:rsid w:val="0B985CD3"/>
    <w:rsid w:val="0E3562BF"/>
    <w:rsid w:val="0E68572F"/>
    <w:rsid w:val="0E9816ED"/>
    <w:rsid w:val="10396E71"/>
    <w:rsid w:val="11DE52CB"/>
    <w:rsid w:val="13357322"/>
    <w:rsid w:val="150A3847"/>
    <w:rsid w:val="15ED4A05"/>
    <w:rsid w:val="18E10F33"/>
    <w:rsid w:val="1A0C35CC"/>
    <w:rsid w:val="1E8D7C1D"/>
    <w:rsid w:val="1EC934F2"/>
    <w:rsid w:val="2163678E"/>
    <w:rsid w:val="21D57BD1"/>
    <w:rsid w:val="22B60755"/>
    <w:rsid w:val="23C4301C"/>
    <w:rsid w:val="24475A26"/>
    <w:rsid w:val="24C5696A"/>
    <w:rsid w:val="264204D7"/>
    <w:rsid w:val="2741574C"/>
    <w:rsid w:val="2C765212"/>
    <w:rsid w:val="30140F1F"/>
    <w:rsid w:val="30872E52"/>
    <w:rsid w:val="30B56AE1"/>
    <w:rsid w:val="327E6635"/>
    <w:rsid w:val="32F3037C"/>
    <w:rsid w:val="3516702D"/>
    <w:rsid w:val="35615E24"/>
    <w:rsid w:val="356B5D48"/>
    <w:rsid w:val="37E601A9"/>
    <w:rsid w:val="39204F82"/>
    <w:rsid w:val="39DD3AE3"/>
    <w:rsid w:val="3A7A2C02"/>
    <w:rsid w:val="3D9423ED"/>
    <w:rsid w:val="3EE84C2D"/>
    <w:rsid w:val="3F595A04"/>
    <w:rsid w:val="427D40B5"/>
    <w:rsid w:val="42CC46C8"/>
    <w:rsid w:val="43315BEC"/>
    <w:rsid w:val="43AD1C7C"/>
    <w:rsid w:val="442F0D65"/>
    <w:rsid w:val="44912C24"/>
    <w:rsid w:val="460264AB"/>
    <w:rsid w:val="47C03328"/>
    <w:rsid w:val="480908C5"/>
    <w:rsid w:val="48601C27"/>
    <w:rsid w:val="49D8404F"/>
    <w:rsid w:val="4C122427"/>
    <w:rsid w:val="4D440E1C"/>
    <w:rsid w:val="4DC33073"/>
    <w:rsid w:val="4E3F7559"/>
    <w:rsid w:val="4ECE0172"/>
    <w:rsid w:val="50476D95"/>
    <w:rsid w:val="51516E47"/>
    <w:rsid w:val="51A46EB2"/>
    <w:rsid w:val="526E4E6B"/>
    <w:rsid w:val="539A09FF"/>
    <w:rsid w:val="54726668"/>
    <w:rsid w:val="54AA1C5C"/>
    <w:rsid w:val="56073B1A"/>
    <w:rsid w:val="56455D97"/>
    <w:rsid w:val="56B33149"/>
    <w:rsid w:val="5B4B1CAA"/>
    <w:rsid w:val="5C1A2683"/>
    <w:rsid w:val="5C2B43CC"/>
    <w:rsid w:val="5CF93C67"/>
    <w:rsid w:val="5E084751"/>
    <w:rsid w:val="604F02CC"/>
    <w:rsid w:val="62597727"/>
    <w:rsid w:val="63C8392D"/>
    <w:rsid w:val="64515E2E"/>
    <w:rsid w:val="64D61FAB"/>
    <w:rsid w:val="66C801A8"/>
    <w:rsid w:val="6C0E3CC0"/>
    <w:rsid w:val="6F71073E"/>
    <w:rsid w:val="6F766435"/>
    <w:rsid w:val="6F9168AA"/>
    <w:rsid w:val="70470537"/>
    <w:rsid w:val="71542000"/>
    <w:rsid w:val="71FD793A"/>
    <w:rsid w:val="72A362E4"/>
    <w:rsid w:val="77B21DBD"/>
    <w:rsid w:val="786A7F85"/>
    <w:rsid w:val="787E0434"/>
    <w:rsid w:val="791505B4"/>
    <w:rsid w:val="7A7C6A82"/>
    <w:rsid w:val="7BFC47DB"/>
    <w:rsid w:val="7E05604E"/>
    <w:rsid w:val="7EC1633B"/>
    <w:rsid w:val="7EC46005"/>
    <w:rsid w:val="7EDF1BBE"/>
    <w:rsid w:val="7F983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6692</Words>
  <Characters>7024</Characters>
  <Lines>59</Lines>
  <Paragraphs>16</Paragraphs>
  <TotalTime>1</TotalTime>
  <ScaleCrop>false</ScaleCrop>
  <LinksUpToDate>false</LinksUpToDate>
  <CharactersWithSpaces>7512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2026-08-03T03:43:56Z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935E55CA86B34E0BBB08F51858B3D3A3_13</vt:lpwstr>
  </property>
  <property fmtid="{D5CDD505-2E9C-101B-9397-08002B2CF9AE}" pid="4" name="KSOTemplateDocerSaveRecord">
    <vt:lpwstr>eyJoZGlkIjoiZGUxYjNlMzcwYTMwOWVlZTVjOWRiNzcyM2U4YTQzM2UiLCJ1c2VySWQiOiIzMTM5MzgyNDcifQ==</vt:lpwstr>
  </property>
</Properties>
</file>