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307E13E7">
      <w:pPr>
        <w:numPr>
          <w:ilvl w:val="0"/>
          <w:numId w:val="0"/>
        </w:numPr>
        <w:jc w:val="both"/>
        <w:rPr>
          <w:rFonts w:hint="eastAsia" w:ascii="黑体" w:hAnsi="黑体" w:eastAsia="黑体" w:cs="黑体"/>
          <w:b w:val="0"/>
          <w:bCs w:val="0"/>
          <w:sz w:val="32"/>
          <w:szCs w:val="32"/>
          <w:lang w:val="en-US" w:eastAsia="zh-CN"/>
        </w:rPr>
      </w:pPr>
    </w:p>
    <w:p w14:paraId="5F948D9B">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安远县电商快递物流园1-7#3F303室租赁(退租后二次挂网)项目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安远县电商快递物流园1-7#3F303室租赁(退租后二次挂网)项目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安远县电商快递物流园1-7#3F303</w:t>
      </w:r>
      <w:bookmarkStart w:id="1" w:name="_GoBack"/>
      <w:bookmarkEnd w:id="1"/>
      <w:r>
        <w:rPr>
          <w:rFonts w:hint="eastAsia" w:ascii="仿宋_GB2312" w:hAnsi="仿宋_GB2312" w:eastAsia="仿宋_GB2312" w:cs="仿宋_GB2312"/>
          <w:sz w:val="32"/>
          <w:szCs w:val="32"/>
          <w:highlight w:val="none"/>
          <w:u w:val="single" w:color="auto"/>
          <w:rtl w:val="0"/>
          <w:lang w:val="en-US" w:eastAsia="zh-CN"/>
        </w:rPr>
        <w:t xml:space="preserve">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78FFCE5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655E2B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安远县农村产权交易服务费收费标准</w:t>
      </w:r>
    </w:p>
    <w:tbl>
      <w:tblPr>
        <w:tblStyle w:val="5"/>
        <w:tblW w:w="9528" w:type="dxa"/>
        <w:tblInd w:w="-312" w:type="dxa"/>
        <w:tblLayout w:type="autofit"/>
        <w:tblCellMar>
          <w:top w:w="0" w:type="dxa"/>
          <w:left w:w="108" w:type="dxa"/>
          <w:bottom w:w="0" w:type="dxa"/>
          <w:right w:w="108" w:type="dxa"/>
        </w:tblCellMar>
      </w:tblPr>
      <w:tblGrid>
        <w:gridCol w:w="4283"/>
        <w:gridCol w:w="5245"/>
      </w:tblGrid>
      <w:tr w14:paraId="626ADF3C">
        <w:tblPrEx>
          <w:tblCellMar>
            <w:top w:w="0" w:type="dxa"/>
            <w:left w:w="108" w:type="dxa"/>
            <w:bottom w:w="0" w:type="dxa"/>
            <w:right w:w="108" w:type="dxa"/>
          </w:tblCellMar>
        </w:tblPrEx>
        <w:trPr>
          <w:trHeight w:val="445" w:hRule="atLeast"/>
        </w:trPr>
        <w:tc>
          <w:tcPr>
            <w:tcW w:w="9528" w:type="dxa"/>
            <w:gridSpan w:val="2"/>
            <w:tcBorders>
              <w:top w:val="single" w:color="000000" w:sz="8" w:space="0"/>
              <w:left w:val="single" w:color="000000" w:sz="8" w:space="0"/>
              <w:bottom w:val="nil"/>
              <w:right w:val="single" w:color="000000" w:sz="8" w:space="0"/>
            </w:tcBorders>
            <w:shd w:val="clear" w:color="auto" w:fill="FFFFFF"/>
            <w:noWrap w:val="0"/>
            <w:vAlign w:val="center"/>
          </w:tcPr>
          <w:p w14:paraId="4043866F">
            <w:pPr>
              <w:widowControl/>
              <w:jc w:val="center"/>
              <w:textAlignment w:val="center"/>
              <w:rPr>
                <w:rFonts w:ascii="仿宋" w:hAnsi="仿宋" w:eastAsia="仿宋" w:cs="仿宋"/>
                <w:b/>
                <w:bCs/>
                <w:color w:val="000000"/>
                <w:sz w:val="24"/>
                <w:szCs w:val="24"/>
              </w:rPr>
            </w:pPr>
            <w:bookmarkStart w:id="0" w:name="_Hlk170996877"/>
            <w:r>
              <w:rPr>
                <w:rFonts w:hint="eastAsia" w:ascii="仿宋" w:hAnsi="仿宋" w:eastAsia="仿宋" w:cs="仿宋"/>
                <w:b/>
                <w:bCs/>
                <w:color w:val="000000"/>
                <w:sz w:val="24"/>
                <w:szCs w:val="24"/>
                <w:lang w:bidi="ar"/>
              </w:rPr>
              <w:t>安远县</w:t>
            </w:r>
            <w:r>
              <w:rPr>
                <w:rFonts w:hint="eastAsia" w:ascii="仿宋" w:hAnsi="仿宋" w:eastAsia="仿宋" w:cs="仿宋"/>
                <w:b/>
                <w:bCs/>
                <w:color w:val="000000"/>
                <w:kern w:val="0"/>
                <w:sz w:val="24"/>
                <w:szCs w:val="24"/>
                <w:lang w:bidi="ar"/>
              </w:rPr>
              <w:t>农村产权交易中心交易</w:t>
            </w:r>
          </w:p>
        </w:tc>
      </w:tr>
      <w:tr w14:paraId="2E79DE04">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59EA8E9">
            <w:pPr>
              <w:widowControl/>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服务费收费标准</w:t>
            </w:r>
          </w:p>
        </w:tc>
      </w:tr>
      <w:bookmarkEnd w:id="0"/>
      <w:tr w14:paraId="4FEC770D">
        <w:tblPrEx>
          <w:tblCellMar>
            <w:top w:w="0" w:type="dxa"/>
            <w:left w:w="108" w:type="dxa"/>
            <w:bottom w:w="0" w:type="dxa"/>
            <w:right w:w="108" w:type="dxa"/>
          </w:tblCellMar>
        </w:tblPrEx>
        <w:trPr>
          <w:trHeight w:val="595"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36F745E7">
            <w:pPr>
              <w:widowControl/>
              <w:jc w:val="center"/>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按差额定律累进计费方式计费（流转租金总价款）</w:t>
            </w:r>
          </w:p>
        </w:tc>
      </w:tr>
      <w:tr w14:paraId="0BBC0389">
        <w:tblPrEx>
          <w:tblCellMar>
            <w:top w:w="0" w:type="dxa"/>
            <w:left w:w="108" w:type="dxa"/>
            <w:bottom w:w="0" w:type="dxa"/>
            <w:right w:w="108" w:type="dxa"/>
          </w:tblCellMar>
        </w:tblPrEx>
        <w:trPr>
          <w:trHeight w:val="595" w:hRule="atLeast"/>
        </w:trPr>
        <w:tc>
          <w:tcPr>
            <w:tcW w:w="4283" w:type="dxa"/>
            <w:tcBorders>
              <w:top w:val="nil"/>
              <w:left w:val="single" w:color="000000" w:sz="8" w:space="0"/>
              <w:bottom w:val="single" w:color="000000" w:sz="8" w:space="0"/>
              <w:right w:val="single" w:color="000000" w:sz="8" w:space="0"/>
            </w:tcBorders>
            <w:shd w:val="clear" w:color="auto" w:fill="FFFFFF"/>
            <w:noWrap w:val="0"/>
            <w:vAlign w:val="center"/>
          </w:tcPr>
          <w:p w14:paraId="29731ACC">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交易金额（万元）</w:t>
            </w:r>
          </w:p>
        </w:tc>
        <w:tc>
          <w:tcPr>
            <w:tcW w:w="5245" w:type="dxa"/>
            <w:tcBorders>
              <w:top w:val="single" w:color="000000" w:sz="8" w:space="0"/>
              <w:left w:val="nil"/>
              <w:bottom w:val="single" w:color="000000" w:sz="8" w:space="0"/>
              <w:right w:val="single" w:color="000000" w:sz="8" w:space="0"/>
            </w:tcBorders>
            <w:shd w:val="clear" w:color="auto" w:fill="FFFFFF"/>
            <w:noWrap w:val="0"/>
            <w:vAlign w:val="center"/>
          </w:tcPr>
          <w:p w14:paraId="7006F565">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公开协议出让、竞价（含线上）、转让%</w:t>
            </w:r>
          </w:p>
        </w:tc>
      </w:tr>
      <w:tr w14:paraId="00754C64">
        <w:tblPrEx>
          <w:tblCellMar>
            <w:top w:w="0" w:type="dxa"/>
            <w:left w:w="108" w:type="dxa"/>
            <w:bottom w:w="0" w:type="dxa"/>
            <w:right w:w="108" w:type="dxa"/>
          </w:tblCellMar>
        </w:tblPrEx>
        <w:trPr>
          <w:trHeight w:val="445" w:hRule="atLeast"/>
        </w:trPr>
        <w:tc>
          <w:tcPr>
            <w:tcW w:w="4283" w:type="dxa"/>
            <w:tcBorders>
              <w:top w:val="single" w:color="000000" w:sz="8" w:space="0"/>
              <w:left w:val="single" w:color="000000" w:sz="8" w:space="0"/>
              <w:bottom w:val="single" w:color="000000" w:sz="8" w:space="0"/>
              <w:right w:val="single" w:color="000000" w:sz="8" w:space="0"/>
            </w:tcBorders>
            <w:noWrap w:val="0"/>
            <w:vAlign w:val="center"/>
          </w:tcPr>
          <w:p w14:paraId="164FD840">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10万以下（含10万）</w:t>
            </w:r>
          </w:p>
        </w:tc>
        <w:tc>
          <w:tcPr>
            <w:tcW w:w="5245" w:type="dxa"/>
            <w:tcBorders>
              <w:top w:val="single" w:color="000000" w:sz="8" w:space="0"/>
              <w:left w:val="nil"/>
              <w:bottom w:val="single" w:color="000000" w:sz="8" w:space="0"/>
              <w:right w:val="single" w:color="000000" w:sz="8" w:space="0"/>
            </w:tcBorders>
            <w:noWrap w:val="0"/>
            <w:vAlign w:val="center"/>
          </w:tcPr>
          <w:p w14:paraId="6181644C">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1.20%</w:t>
            </w:r>
          </w:p>
        </w:tc>
      </w:tr>
      <w:tr w14:paraId="5E9BDC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4EA1D18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10-50（含50万）</w:t>
            </w:r>
          </w:p>
        </w:tc>
        <w:tc>
          <w:tcPr>
            <w:tcW w:w="5245" w:type="dxa"/>
            <w:tcBorders>
              <w:top w:val="nil"/>
              <w:left w:val="nil"/>
              <w:bottom w:val="single" w:color="000000" w:sz="8" w:space="0"/>
              <w:right w:val="single" w:color="000000" w:sz="8" w:space="0"/>
            </w:tcBorders>
            <w:noWrap w:val="0"/>
            <w:vAlign w:val="center"/>
          </w:tcPr>
          <w:p w14:paraId="7BCA4A2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w:t>
            </w:r>
          </w:p>
        </w:tc>
      </w:tr>
      <w:tr w14:paraId="3171D8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510A35D1">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50-100（含100万）</w:t>
            </w:r>
          </w:p>
        </w:tc>
        <w:tc>
          <w:tcPr>
            <w:tcW w:w="5245" w:type="dxa"/>
            <w:tcBorders>
              <w:top w:val="nil"/>
              <w:left w:val="nil"/>
              <w:bottom w:val="single" w:color="000000" w:sz="8" w:space="0"/>
              <w:right w:val="single" w:color="000000" w:sz="8" w:space="0"/>
            </w:tcBorders>
            <w:noWrap w:val="0"/>
            <w:vAlign w:val="center"/>
          </w:tcPr>
          <w:p w14:paraId="4F2A640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0.80%</w:t>
            </w:r>
          </w:p>
        </w:tc>
      </w:tr>
      <w:tr w14:paraId="333DCDA2">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46BF7F7">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100-500（含500万）</w:t>
            </w:r>
          </w:p>
        </w:tc>
        <w:tc>
          <w:tcPr>
            <w:tcW w:w="5245" w:type="dxa"/>
            <w:tcBorders>
              <w:top w:val="nil"/>
              <w:left w:val="nil"/>
              <w:bottom w:val="single" w:color="000000" w:sz="8" w:space="0"/>
              <w:right w:val="single" w:color="000000" w:sz="8" w:space="0"/>
            </w:tcBorders>
            <w:noWrap w:val="0"/>
            <w:vAlign w:val="center"/>
          </w:tcPr>
          <w:p w14:paraId="7CD605F9">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0.60%</w:t>
            </w:r>
          </w:p>
        </w:tc>
      </w:tr>
      <w:tr w14:paraId="1FC2CCF8">
        <w:tblPrEx>
          <w:tblCellMar>
            <w:top w:w="0" w:type="dxa"/>
            <w:left w:w="108" w:type="dxa"/>
            <w:bottom w:w="0" w:type="dxa"/>
            <w:right w:w="108" w:type="dxa"/>
          </w:tblCellMar>
        </w:tblPrEx>
        <w:trPr>
          <w:trHeight w:val="573" w:hRule="atLeast"/>
        </w:trPr>
        <w:tc>
          <w:tcPr>
            <w:tcW w:w="4283" w:type="dxa"/>
            <w:tcBorders>
              <w:top w:val="nil"/>
              <w:left w:val="single" w:color="000000" w:sz="8" w:space="0"/>
              <w:bottom w:val="single" w:color="000000" w:sz="8" w:space="0"/>
              <w:right w:val="single" w:color="000000" w:sz="8" w:space="0"/>
            </w:tcBorders>
            <w:noWrap w:val="0"/>
            <w:vAlign w:val="center"/>
          </w:tcPr>
          <w:p w14:paraId="192DA55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500-1000（含1000万）</w:t>
            </w:r>
          </w:p>
        </w:tc>
        <w:tc>
          <w:tcPr>
            <w:tcW w:w="5245" w:type="dxa"/>
            <w:tcBorders>
              <w:top w:val="nil"/>
              <w:left w:val="nil"/>
              <w:bottom w:val="single" w:color="000000" w:sz="8" w:space="0"/>
              <w:right w:val="single" w:color="000000" w:sz="8" w:space="0"/>
            </w:tcBorders>
            <w:noWrap w:val="0"/>
            <w:vAlign w:val="center"/>
          </w:tcPr>
          <w:p w14:paraId="35BAEE4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0.40%</w:t>
            </w:r>
          </w:p>
        </w:tc>
      </w:tr>
      <w:tr w14:paraId="0EFE45D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1470B63F">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1000-2000万（含2000万）</w:t>
            </w:r>
          </w:p>
        </w:tc>
        <w:tc>
          <w:tcPr>
            <w:tcW w:w="5245" w:type="dxa"/>
            <w:tcBorders>
              <w:top w:val="nil"/>
              <w:left w:val="nil"/>
              <w:bottom w:val="single" w:color="000000" w:sz="8" w:space="0"/>
              <w:right w:val="single" w:color="000000" w:sz="8" w:space="0"/>
            </w:tcBorders>
            <w:noWrap w:val="0"/>
            <w:vAlign w:val="center"/>
          </w:tcPr>
          <w:p w14:paraId="63E0400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0.25%</w:t>
            </w:r>
          </w:p>
        </w:tc>
      </w:tr>
      <w:tr w14:paraId="733B58B9">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992DFD6">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2000万以上</w:t>
            </w:r>
          </w:p>
        </w:tc>
        <w:tc>
          <w:tcPr>
            <w:tcW w:w="5245" w:type="dxa"/>
            <w:tcBorders>
              <w:top w:val="nil"/>
              <w:left w:val="nil"/>
              <w:bottom w:val="single" w:color="000000" w:sz="8" w:space="0"/>
              <w:right w:val="single" w:color="000000" w:sz="8" w:space="0"/>
            </w:tcBorders>
            <w:noWrap w:val="0"/>
            <w:vAlign w:val="center"/>
          </w:tcPr>
          <w:p w14:paraId="7F3AFE8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0.10%</w:t>
            </w:r>
          </w:p>
        </w:tc>
      </w:tr>
      <w:tr w14:paraId="31580A31">
        <w:tblPrEx>
          <w:tblCellMar>
            <w:top w:w="0" w:type="dxa"/>
            <w:left w:w="108" w:type="dxa"/>
            <w:bottom w:w="0" w:type="dxa"/>
            <w:right w:w="108" w:type="dxa"/>
          </w:tblCellMar>
        </w:tblPrEx>
        <w:trPr>
          <w:trHeight w:val="445"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C07732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差额定律累进计费方式。例如:成交金额为2100万元，计费方式如下:</w:t>
            </w:r>
          </w:p>
        </w:tc>
      </w:tr>
      <w:tr w14:paraId="486A58FD">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FC3315">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10万元×1.2%=0.12万元</w:t>
            </w:r>
          </w:p>
        </w:tc>
      </w:tr>
      <w:tr w14:paraId="07AD2E59">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648FF6">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40万元×1%=0.4万元</w:t>
            </w:r>
          </w:p>
        </w:tc>
      </w:tr>
      <w:tr w14:paraId="330B12A5">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C6597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50万元×0.8%=0.4万元</w:t>
            </w:r>
          </w:p>
        </w:tc>
      </w:tr>
      <w:tr w14:paraId="6A80F3A6">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2173CE9">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400万元×0.6%=2.4万元</w:t>
            </w:r>
          </w:p>
        </w:tc>
      </w:tr>
      <w:tr w14:paraId="1B45425A">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1C64DFD">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500万元×0.4%=2万元</w:t>
            </w:r>
          </w:p>
        </w:tc>
      </w:tr>
      <w:tr w14:paraId="13CA18EB">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F83D62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1000万元×0.25%=2.5万元</w:t>
            </w:r>
          </w:p>
        </w:tc>
      </w:tr>
      <w:tr w14:paraId="66CCC87C">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BA531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100万元×0.1%=0.1万元</w:t>
            </w:r>
          </w:p>
        </w:tc>
      </w:tr>
      <w:tr w14:paraId="61C2C9D6">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7564FD83">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费用合计=0.12+0.4+0.4+2.4+2+2.5+0.1=7.92（万元)</w:t>
            </w:r>
          </w:p>
        </w:tc>
      </w:tr>
      <w:tr w14:paraId="52F4B5EB">
        <w:tblPrEx>
          <w:tblCellMar>
            <w:top w:w="0" w:type="dxa"/>
            <w:left w:w="108" w:type="dxa"/>
            <w:bottom w:w="0" w:type="dxa"/>
            <w:right w:w="108" w:type="dxa"/>
          </w:tblCellMar>
        </w:tblPrEx>
        <w:trPr>
          <w:trHeight w:val="432"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5A0BA614">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备注</w:t>
            </w:r>
          </w:p>
        </w:tc>
      </w:tr>
      <w:tr w14:paraId="0D515370">
        <w:tblPrEx>
          <w:tblCellMar>
            <w:top w:w="0" w:type="dxa"/>
            <w:left w:w="108" w:type="dxa"/>
            <w:bottom w:w="0" w:type="dxa"/>
            <w:right w:w="108" w:type="dxa"/>
          </w:tblCellMar>
        </w:tblPrEx>
        <w:trPr>
          <w:trHeight w:val="307"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7409A60">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1、以成交金额为基数，面向转让方和受让方双向收取</w:t>
            </w:r>
            <w:r>
              <w:rPr>
                <w:rFonts w:hint="eastAsia" w:ascii="仿宋" w:hAnsi="仿宋" w:eastAsia="仿宋" w:cs="宋体"/>
                <w:b/>
                <w:bCs/>
                <w:color w:val="000000"/>
                <w:kern w:val="0"/>
                <w:szCs w:val="21"/>
                <w:lang w:eastAsia="zh-CN" w:bidi="ar"/>
              </w:rPr>
              <w:t>，</w:t>
            </w:r>
            <w:r>
              <w:rPr>
                <w:rFonts w:hint="eastAsia" w:ascii="仿宋" w:hAnsi="仿宋" w:eastAsia="仿宋" w:cs="宋体"/>
                <w:b/>
                <w:bCs/>
                <w:color w:val="000000"/>
                <w:kern w:val="0"/>
                <w:szCs w:val="21"/>
                <w:lang w:val="en-US" w:eastAsia="zh-CN" w:bidi="ar"/>
              </w:rPr>
              <w:t>其中受让方需支付实地勘察费300元/户</w:t>
            </w:r>
            <w:r>
              <w:rPr>
                <w:rFonts w:hint="eastAsia" w:ascii="仿宋" w:hAnsi="仿宋" w:eastAsia="仿宋" w:cs="宋体"/>
                <w:b/>
                <w:bCs/>
                <w:color w:val="000000"/>
                <w:kern w:val="0"/>
                <w:szCs w:val="21"/>
                <w:lang w:bidi="ar"/>
              </w:rPr>
              <w:t>。</w:t>
            </w:r>
          </w:p>
        </w:tc>
      </w:tr>
      <w:tr w14:paraId="5529C5D1">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F08647B">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2、每笔交易服务费最低收费200元；历史审查鉴证及工本费用80元每本。</w:t>
            </w:r>
          </w:p>
        </w:tc>
      </w:tr>
      <w:tr w14:paraId="47479444">
        <w:tblPrEx>
          <w:tblCellMar>
            <w:top w:w="0" w:type="dxa"/>
            <w:left w:w="108" w:type="dxa"/>
            <w:bottom w:w="0" w:type="dxa"/>
            <w:right w:w="108" w:type="dxa"/>
          </w:tblCellMar>
        </w:tblPrEx>
        <w:trPr>
          <w:trHeight w:val="1746"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2478DB25">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3、转出方为农户个人或者村集体，免收转出方该项费用。</w:t>
            </w:r>
          </w:p>
          <w:p w14:paraId="195E3D2F">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4、为坚持“公益性”最大化原则，降低交易双方相关服务费成本，故不单独划分协议成交服务费及竞价成交服务费。</w:t>
            </w:r>
          </w:p>
          <w:p w14:paraId="6646B981">
            <w:pPr>
              <w:widowControl/>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5、协议交易是指在安远县农村产权交易中心进行公开挂网协议完成的农村产权交易。竞价交易服务费是指通过招投标、拍卖、网络竞价等方式进行交易，转让方和受让方在交易完成时应支付的服务费用。</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33311CF"/>
    <w:rsid w:val="042033D6"/>
    <w:rsid w:val="06E2476A"/>
    <w:rsid w:val="06F67AE1"/>
    <w:rsid w:val="07697D31"/>
    <w:rsid w:val="0A2202CC"/>
    <w:rsid w:val="0B4E34C6"/>
    <w:rsid w:val="0BB14140"/>
    <w:rsid w:val="11FF1DAE"/>
    <w:rsid w:val="12D404D2"/>
    <w:rsid w:val="14314AB0"/>
    <w:rsid w:val="15022229"/>
    <w:rsid w:val="15B8610B"/>
    <w:rsid w:val="15E62E7C"/>
    <w:rsid w:val="16227A29"/>
    <w:rsid w:val="16CC45CE"/>
    <w:rsid w:val="18E5713F"/>
    <w:rsid w:val="1A33348C"/>
    <w:rsid w:val="1C6E2E49"/>
    <w:rsid w:val="1D632E00"/>
    <w:rsid w:val="1E6E02FD"/>
    <w:rsid w:val="1EA062D6"/>
    <w:rsid w:val="1EE308BF"/>
    <w:rsid w:val="1FC15CC5"/>
    <w:rsid w:val="208409CB"/>
    <w:rsid w:val="233A4603"/>
    <w:rsid w:val="253B0B2E"/>
    <w:rsid w:val="25947D35"/>
    <w:rsid w:val="25DF1492"/>
    <w:rsid w:val="27E52BD5"/>
    <w:rsid w:val="28013942"/>
    <w:rsid w:val="2BA06EDF"/>
    <w:rsid w:val="2CE77338"/>
    <w:rsid w:val="2CF27E3B"/>
    <w:rsid w:val="2D1139FF"/>
    <w:rsid w:val="303D0F29"/>
    <w:rsid w:val="311245A1"/>
    <w:rsid w:val="3269113C"/>
    <w:rsid w:val="34C71B41"/>
    <w:rsid w:val="34FE10A6"/>
    <w:rsid w:val="38851BFC"/>
    <w:rsid w:val="3B27789D"/>
    <w:rsid w:val="3C8D17F0"/>
    <w:rsid w:val="3CF93F15"/>
    <w:rsid w:val="3E9571B9"/>
    <w:rsid w:val="3F00466A"/>
    <w:rsid w:val="3F0A29FB"/>
    <w:rsid w:val="400D3523"/>
    <w:rsid w:val="452E210D"/>
    <w:rsid w:val="466A5324"/>
    <w:rsid w:val="471A69C9"/>
    <w:rsid w:val="48834F84"/>
    <w:rsid w:val="489568F6"/>
    <w:rsid w:val="48DF1625"/>
    <w:rsid w:val="49324FF8"/>
    <w:rsid w:val="4AB92C27"/>
    <w:rsid w:val="4B182BCD"/>
    <w:rsid w:val="4CE2188D"/>
    <w:rsid w:val="4CEA0599"/>
    <w:rsid w:val="4DB210B7"/>
    <w:rsid w:val="4E8D742E"/>
    <w:rsid w:val="4EF07A0E"/>
    <w:rsid w:val="4F010F1B"/>
    <w:rsid w:val="4F3B7C16"/>
    <w:rsid w:val="51661CE6"/>
    <w:rsid w:val="53BB08EB"/>
    <w:rsid w:val="53E21FCA"/>
    <w:rsid w:val="54051FE4"/>
    <w:rsid w:val="55B41744"/>
    <w:rsid w:val="55B81234"/>
    <w:rsid w:val="560B6347"/>
    <w:rsid w:val="575E5E0B"/>
    <w:rsid w:val="57671164"/>
    <w:rsid w:val="5B2B4256"/>
    <w:rsid w:val="5B721E85"/>
    <w:rsid w:val="5DC10EA2"/>
    <w:rsid w:val="5DEA664B"/>
    <w:rsid w:val="5F3E6C4E"/>
    <w:rsid w:val="64137F7D"/>
    <w:rsid w:val="64B22C03"/>
    <w:rsid w:val="65FF6A0B"/>
    <w:rsid w:val="66BB7D1F"/>
    <w:rsid w:val="67062A52"/>
    <w:rsid w:val="684C6D1E"/>
    <w:rsid w:val="684F2AAF"/>
    <w:rsid w:val="688C3563"/>
    <w:rsid w:val="6A55309E"/>
    <w:rsid w:val="6B0F149F"/>
    <w:rsid w:val="6BF27CC7"/>
    <w:rsid w:val="6CF941B4"/>
    <w:rsid w:val="6F571B06"/>
    <w:rsid w:val="700E0113"/>
    <w:rsid w:val="7049430D"/>
    <w:rsid w:val="71F27F57"/>
    <w:rsid w:val="73022C2A"/>
    <w:rsid w:val="748F3C31"/>
    <w:rsid w:val="74AF784E"/>
    <w:rsid w:val="78D97BCD"/>
    <w:rsid w:val="799D63CF"/>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1422</Words>
  <Characters>1638</Characters>
  <Lines>0</Lines>
  <Paragraphs>0</Paragraphs>
  <TotalTime>1</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2024-11-20T03:24:00Z</cp:lastPrinted>
  <dcterms:modified xsi:type="dcterms:W3CDTF">2026-08-10T01:42:18Z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BFD7BA335472427DBF442B8C87E73117_13</vt:lpwstr>
  </property>
  <property fmtid="{D5CDD505-2E9C-101B-9397-08002B2CF9AE}" pid="4" name="KSOTemplateDocerSaveRecord">
    <vt:lpwstr>eyJoZGlkIjoiNjM1ZDYxMzkyOWM2YTJkODZmMjcxN2RiNWU5Mzc2MWUiLCJ1c2VySWQiOiIxMzQzMDU4NDcyIn0=</vt:lpwstr>
  </property>
</Properties>
</file>