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B884B">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BE4AD9D">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4685ACF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6ADEFA0">
      <w:pPr>
        <w:pStyle w:val="5"/>
        <w:ind w:firstLine="0"/>
        <w:jc w:val="left"/>
        <w:rPr>
          <w:rFonts w:ascii="仿宋_GB2312" w:hAnsi="仿宋_GB2312" w:eastAsia="仿宋_GB2312" w:cs="仿宋_GB2312"/>
          <w:color w:val="000000"/>
          <w:sz w:val="30"/>
          <w:szCs w:val="30"/>
        </w:rPr>
      </w:pPr>
    </w:p>
    <w:p w14:paraId="5B2EA6C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33D194CC">
      <w:pPr>
        <w:pStyle w:val="5"/>
        <w:ind w:firstLine="0"/>
        <w:jc w:val="left"/>
        <w:rPr>
          <w:rFonts w:ascii="仿宋_GB2312" w:hAnsi="仿宋_GB2312" w:eastAsia="仿宋_GB2312" w:cs="仿宋_GB2312"/>
          <w:color w:val="000000"/>
          <w:sz w:val="30"/>
          <w:szCs w:val="30"/>
        </w:rPr>
      </w:pPr>
    </w:p>
    <w:p w14:paraId="1493C0AE">
      <w:pPr>
        <w:pStyle w:val="5"/>
        <w:jc w:val="left"/>
        <w:rPr>
          <w:rFonts w:ascii="仿宋_GB2312" w:hAnsi="仿宋_GB2312" w:eastAsia="仿宋_GB2312" w:cs="仿宋_GB2312"/>
          <w:color w:val="000000"/>
          <w:sz w:val="30"/>
          <w:szCs w:val="30"/>
        </w:rPr>
      </w:pPr>
    </w:p>
    <w:p w14:paraId="026FDB96">
      <w:pPr>
        <w:pStyle w:val="5"/>
        <w:jc w:val="left"/>
        <w:rPr>
          <w:rFonts w:ascii="仿宋_GB2312" w:hAnsi="仿宋_GB2312" w:eastAsia="仿宋_GB2312" w:cs="仿宋_GB2312"/>
          <w:color w:val="000000"/>
          <w:sz w:val="30"/>
          <w:szCs w:val="30"/>
        </w:rPr>
      </w:pPr>
    </w:p>
    <w:p w14:paraId="489FB144">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83CB3D4">
      <w:pPr>
        <w:pStyle w:val="5"/>
        <w:ind w:firstLine="0"/>
        <w:jc w:val="left"/>
        <w:rPr>
          <w:rFonts w:ascii="仿宋_GB2312" w:hAnsi="仿宋_GB2312" w:eastAsia="仿宋_GB2312" w:cs="仿宋_GB2312"/>
          <w:color w:val="000000"/>
          <w:sz w:val="30"/>
          <w:szCs w:val="30"/>
        </w:rPr>
      </w:pPr>
    </w:p>
    <w:p w14:paraId="462033A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018AAE7C">
      <w:pPr>
        <w:pStyle w:val="5"/>
        <w:jc w:val="left"/>
        <w:rPr>
          <w:rFonts w:ascii="仿宋_GB2312" w:hAnsi="仿宋_GB2312" w:eastAsia="仿宋_GB2312" w:cs="仿宋_GB2312"/>
          <w:color w:val="000000"/>
          <w:sz w:val="30"/>
          <w:szCs w:val="30"/>
        </w:rPr>
      </w:pPr>
    </w:p>
    <w:p w14:paraId="39CA8D9C">
      <w:pPr>
        <w:pStyle w:val="5"/>
        <w:jc w:val="left"/>
        <w:rPr>
          <w:rFonts w:ascii="仿宋_GB2312" w:hAnsi="仿宋_GB2312" w:eastAsia="仿宋_GB2312" w:cs="仿宋_GB2312"/>
          <w:color w:val="000000"/>
          <w:sz w:val="30"/>
          <w:szCs w:val="30"/>
        </w:rPr>
      </w:pPr>
    </w:p>
    <w:p w14:paraId="0CAE586F">
      <w:pPr>
        <w:pStyle w:val="5"/>
        <w:jc w:val="left"/>
        <w:rPr>
          <w:rFonts w:ascii="仿宋_GB2312" w:hAnsi="仿宋_GB2312" w:eastAsia="仿宋_GB2312" w:cs="仿宋_GB2312"/>
          <w:color w:val="000000"/>
          <w:sz w:val="30"/>
          <w:szCs w:val="30"/>
        </w:rPr>
      </w:pPr>
    </w:p>
    <w:p w14:paraId="3A686B36">
      <w:pPr>
        <w:pStyle w:val="5"/>
        <w:jc w:val="left"/>
        <w:rPr>
          <w:rFonts w:ascii="仿宋_GB2312" w:hAnsi="仿宋_GB2312" w:eastAsia="仿宋_GB2312" w:cs="仿宋_GB2312"/>
          <w:color w:val="000000"/>
          <w:sz w:val="30"/>
          <w:szCs w:val="30"/>
        </w:rPr>
      </w:pPr>
    </w:p>
    <w:p w14:paraId="4C28B08A">
      <w:pPr>
        <w:pStyle w:val="5"/>
        <w:jc w:val="left"/>
        <w:rPr>
          <w:rFonts w:ascii="仿宋_GB2312" w:hAnsi="仿宋_GB2312" w:eastAsia="仿宋_GB2312" w:cs="仿宋_GB2312"/>
          <w:color w:val="000000"/>
          <w:sz w:val="30"/>
          <w:szCs w:val="30"/>
        </w:rPr>
      </w:pPr>
    </w:p>
    <w:p w14:paraId="66F4DDBF">
      <w:pPr>
        <w:pStyle w:val="5"/>
        <w:jc w:val="left"/>
        <w:rPr>
          <w:rFonts w:ascii="仿宋_GB2312" w:hAnsi="仿宋_GB2312" w:eastAsia="仿宋_GB2312" w:cs="仿宋_GB2312"/>
          <w:color w:val="000000"/>
          <w:sz w:val="30"/>
          <w:szCs w:val="30"/>
        </w:rPr>
      </w:pPr>
    </w:p>
    <w:p w14:paraId="79547036">
      <w:pPr>
        <w:pStyle w:val="5"/>
        <w:jc w:val="left"/>
        <w:rPr>
          <w:rFonts w:ascii="仿宋_GB2312" w:hAnsi="仿宋_GB2312" w:eastAsia="仿宋_GB2312" w:cs="仿宋_GB2312"/>
          <w:color w:val="000000"/>
          <w:sz w:val="30"/>
          <w:szCs w:val="30"/>
        </w:rPr>
      </w:pPr>
    </w:p>
    <w:p w14:paraId="60360591">
      <w:pPr>
        <w:pStyle w:val="5"/>
        <w:jc w:val="left"/>
        <w:rPr>
          <w:rFonts w:ascii="仿宋_GB2312" w:hAnsi="仿宋_GB2312" w:eastAsia="仿宋_GB2312" w:cs="仿宋_GB2312"/>
          <w:color w:val="000000"/>
          <w:sz w:val="30"/>
          <w:szCs w:val="30"/>
        </w:rPr>
      </w:pPr>
    </w:p>
    <w:p w14:paraId="2BA124EB">
      <w:pPr>
        <w:jc w:val="left"/>
        <w:sectPr>
          <w:pgSz w:w="11906" w:h="16838"/>
          <w:pgMar w:top="1440" w:right="1800" w:bottom="1440" w:left="1800" w:header="851" w:footer="992" w:gutter="0"/>
          <w:pgNumType w:fmt="decimal"/>
          <w:cols w:space="425" w:num="1"/>
          <w:docGrid w:type="lines" w:linePitch="312" w:charSpace="0"/>
        </w:sectPr>
      </w:pPr>
    </w:p>
    <w:p w14:paraId="69A6F097">
      <w:pPr>
        <w:pStyle w:val="3"/>
        <w:pageBreakBefore w:val="0"/>
        <w:widowControl w:val="0"/>
        <w:kinsoku/>
        <w:overflowPunct/>
        <w:topLinePunct w:val="0"/>
        <w:autoSpaceDE/>
        <w:autoSpaceDN/>
        <w:bidi w:val="0"/>
        <w:adjustRightInd/>
        <w:snapToGrid/>
        <w:spacing w:before="0" w:after="0" w:line="240" w:lineRule="auto"/>
        <w:textAlignment w:val="auto"/>
        <w:rPr>
          <w:rFonts w:ascii="黑体" w:hAnsi="黑体"/>
          <w:color w:val="000000"/>
        </w:rPr>
      </w:pPr>
      <w:bookmarkStart w:id="1" w:name="_Toc11918"/>
      <w:bookmarkStart w:id="2" w:name="_Toc21762"/>
      <w:bookmarkStart w:id="3" w:name="_Toc24454"/>
      <w:bookmarkStart w:id="4" w:name="_Toc20910"/>
      <w:bookmarkStart w:id="5" w:name="_Toc21422"/>
      <w:bookmarkStart w:id="6" w:name="_Toc15737"/>
      <w:bookmarkStart w:id="7" w:name="_Toc32320"/>
      <w:bookmarkStart w:id="8" w:name="_Toc25712"/>
      <w:bookmarkStart w:id="9" w:name="_Toc7615"/>
      <w:bookmarkStart w:id="10" w:name="_Toc29002"/>
      <w:bookmarkStart w:id="11" w:name="_Toc13462"/>
      <w:bookmarkStart w:id="12" w:name="_Toc24727"/>
      <w:bookmarkStart w:id="13" w:name="_Toc24068"/>
      <w:bookmarkStart w:id="14" w:name="_Toc8396"/>
      <w:bookmarkStart w:id="15" w:name="_Toc20033"/>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374AADE1">
      <w:pPr>
        <w:pageBreakBefore w:val="0"/>
        <w:widowControl w:val="0"/>
        <w:kinsoku/>
        <w:overflowPunct/>
        <w:topLinePunct w:val="0"/>
        <w:autoSpaceDE/>
        <w:autoSpaceDN/>
        <w:bidi w:val="0"/>
        <w:adjustRightInd/>
        <w:snapToGrid/>
        <w:ind w:firstLine="562" w:firstLineChars="200"/>
        <w:jc w:val="left"/>
        <w:textAlignment w:val="auto"/>
        <w:outlineLvl w:val="0"/>
        <w:rPr>
          <w:rFonts w:ascii="新宋体" w:hAnsi="新宋体" w:eastAsia="新宋体"/>
          <w:sz w:val="28"/>
          <w:szCs w:val="28"/>
        </w:rPr>
      </w:pPr>
      <w:r>
        <w:rPr>
          <w:rFonts w:hint="eastAsia" w:ascii="新宋体" w:hAnsi="新宋体" w:eastAsia="新宋体"/>
          <w:b/>
          <w:bCs/>
          <w:color w:val="C00000"/>
          <w:sz w:val="28"/>
          <w:szCs w:val="28"/>
          <w:u w:val="none"/>
          <w:lang w:val="en-US" w:eastAsia="zh-CN"/>
        </w:rPr>
        <w:t>一、</w:t>
      </w:r>
      <w:bookmarkStart w:id="36" w:name="_GoBack"/>
      <w:r>
        <w:rPr>
          <w:rFonts w:hint="eastAsia" w:ascii="新宋体" w:hAnsi="新宋体" w:eastAsia="新宋体"/>
          <w:b/>
          <w:bCs/>
          <w:color w:val="C00000"/>
          <w:sz w:val="28"/>
          <w:szCs w:val="28"/>
          <w:u w:val="single"/>
          <w:lang w:val="en-US" w:eastAsia="zh-CN"/>
        </w:rPr>
        <w:t>琼中黎族苗族自治县湾岭镇岭门村山心一村组股份经济合作社67.35亩集体油茶基地采摘经营权出租</w:t>
      </w:r>
      <w:bookmarkEnd w:id="36"/>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琼中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琼中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6D346CC9">
      <w:pPr>
        <w:pageBreakBefore w:val="0"/>
        <w:widowControl w:val="0"/>
        <w:kinsoku/>
        <w:overflowPunct/>
        <w:topLinePunct w:val="0"/>
        <w:autoSpaceDE/>
        <w:autoSpaceDN/>
        <w:bidi w:val="0"/>
        <w:adjustRightInd/>
        <w:snapToGrid/>
        <w:spacing w:line="52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331F5043">
      <w:pPr>
        <w:keepNext w:val="0"/>
        <w:keepLines w:val="0"/>
        <w:pageBreakBefore w:val="0"/>
        <w:widowControl w:val="0"/>
        <w:kinsoku/>
        <w:wordWrap w:val="0"/>
        <w:overflowPunct/>
        <w:topLinePunct w:val="0"/>
        <w:autoSpaceDE/>
        <w:autoSpaceDN/>
        <w:bidi w:val="0"/>
        <w:adjustRightInd/>
        <w:snapToGrid/>
        <w:spacing w:line="52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琼中</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平台（https://qiongzhong.nongjiao.com，以下简称“平台”）为指定的交易平台，竞买方应通过平台参与标的竞拍活动。</w:t>
      </w:r>
    </w:p>
    <w:p w14:paraId="0D79974E">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4EEBC18D">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7AC6EC3D">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79F283B">
      <w:pPr>
        <w:pageBreakBefore w:val="0"/>
        <w:widowControl w:val="0"/>
        <w:numPr>
          <w:ilvl w:val="0"/>
          <w:numId w:val="0"/>
        </w:numPr>
        <w:kinsoku/>
        <w:overflowPunct/>
        <w:topLinePunct w:val="0"/>
        <w:autoSpaceDE/>
        <w:autoSpaceDN/>
        <w:bidi w:val="0"/>
        <w:adjustRightInd/>
        <w:snapToGrid/>
        <w:spacing w:line="520" w:lineRule="exact"/>
        <w:ind w:firstLine="562" w:firstLineChars="200"/>
        <w:textAlignment w:val="auto"/>
        <w:rPr>
          <w:b/>
          <w:bCs/>
        </w:rPr>
      </w:pPr>
      <w:r>
        <w:rPr>
          <w:rFonts w:hint="eastAsia" w:ascii="新宋体" w:hAnsi="新宋体" w:eastAsia="新宋体" w:cs="Times New Roman"/>
          <w:b/>
          <w:bCs/>
          <w:color w:val="C00000"/>
          <w:sz w:val="28"/>
          <w:szCs w:val="28"/>
          <w:lang w:val="en-US" w:eastAsia="zh-CN"/>
        </w:rPr>
        <w:t>二、</w:t>
      </w: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01EC13B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6415"/>
      </w:tblGrid>
      <w:tr w14:paraId="6D5D0B59">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849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9A9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琼中黎族苗族自治县农村产权交易中心有限公司</w:t>
            </w:r>
          </w:p>
        </w:tc>
      </w:tr>
      <w:tr w14:paraId="229AF0D2">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B10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C6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海南农村商业银行股份有限公司琼中支行</w:t>
            </w:r>
          </w:p>
        </w:tc>
      </w:tr>
      <w:tr w14:paraId="2ACBF2C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3CA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4D3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1020352900000213</w:t>
            </w:r>
          </w:p>
        </w:tc>
      </w:tr>
    </w:tbl>
    <w:p w14:paraId="38318A1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0D7A8821">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1CB154F">
      <w:pPr>
        <w:keepNext w:val="0"/>
        <w:keepLines w:val="0"/>
        <w:pageBreakBefore w:val="0"/>
        <w:widowControl w:val="0"/>
        <w:kinsoku/>
        <w:wordWrap w:val="0"/>
        <w:overflowPunct/>
        <w:topLinePunct w:val="0"/>
        <w:autoSpaceDE/>
        <w:autoSpaceDN/>
        <w:bidi w:val="0"/>
        <w:adjustRightInd/>
        <w:snapToGrid/>
        <w:spacing w:line="560" w:lineRule="exact"/>
        <w:ind w:firstLine="560" w:firstLineChars="200"/>
        <w:textAlignment w:val="auto"/>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https://qiongzhong.nongjiao.com</w:t>
      </w:r>
      <w:r>
        <w:rPr>
          <w:rFonts w:hint="eastAsia" w:ascii="新宋体" w:hAnsi="新宋体" w:eastAsia="新宋体" w:cs="Times New Roman"/>
          <w:sz w:val="28"/>
          <w:szCs w:val="28"/>
        </w:rPr>
        <w:t>，即可操作。</w:t>
      </w:r>
    </w:p>
    <w:p w14:paraId="3933992B">
      <w:pPr>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FF0000"/>
          <w:sz w:val="28"/>
          <w:szCs w:val="28"/>
          <w:u w:val="single"/>
          <w:lang w:val="en-US" w:eastAsia="zh-CN"/>
        </w:rPr>
        <w:t>30000</w:t>
      </w:r>
      <w:r>
        <w:rPr>
          <w:rFonts w:hint="eastAsia" w:ascii="新宋体" w:hAnsi="新宋体" w:eastAsia="新宋体" w:cs="Times New Roman"/>
          <w:b/>
          <w:bCs/>
          <w:sz w:val="28"/>
          <w:szCs w:val="28"/>
          <w:lang w:val="en-US" w:eastAsia="zh-CN"/>
        </w:rPr>
        <w:t>元/年（含税）。</w:t>
      </w:r>
    </w:p>
    <w:p w14:paraId="29436AE8">
      <w:pPr>
        <w:pStyle w:val="2"/>
        <w:pageBreakBefore w:val="0"/>
        <w:widowControl w:val="0"/>
        <w:numPr>
          <w:ilvl w:val="0"/>
          <w:numId w:val="1"/>
        </w:numPr>
        <w:kinsoku/>
        <w:wordWrap/>
        <w:overflowPunct/>
        <w:topLinePunct w:val="0"/>
        <w:autoSpaceDE/>
        <w:autoSpaceDN/>
        <w:bidi w:val="0"/>
        <w:adjustRightInd/>
        <w:snapToGrid/>
        <w:spacing w:before="0" w:after="0" w:line="560" w:lineRule="exact"/>
        <w:ind w:left="559" w:leftChars="266"/>
        <w:textAlignment w:val="auto"/>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r>
        <w:rPr>
          <w:rFonts w:hint="eastAsia" w:ascii="新宋体" w:hAnsi="新宋体" w:eastAsia="新宋体" w:cs="Times New Roman"/>
          <w:sz w:val="28"/>
          <w:szCs w:val="28"/>
          <w:lang w:eastAsia="zh-CN"/>
        </w:rPr>
        <w:t>。</w:t>
      </w:r>
    </w:p>
    <w:p w14:paraId="68EAB06C">
      <w:pPr>
        <w:pStyle w:val="2"/>
        <w:pageBreakBefore w:val="0"/>
        <w:widowControl w:val="0"/>
        <w:numPr>
          <w:ilvl w:val="0"/>
          <w:numId w:val="0"/>
        </w:numPr>
        <w:kinsoku/>
        <w:wordWrap/>
        <w:overflowPunct/>
        <w:topLinePunct w:val="0"/>
        <w:autoSpaceDE/>
        <w:autoSpaceDN/>
        <w:bidi w:val="0"/>
        <w:adjustRightInd/>
        <w:snapToGrid/>
        <w:spacing w:before="0" w:after="0" w:line="500" w:lineRule="exact"/>
        <w:ind w:firstLine="562"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竞买方接受出租（转让）方确定的交易条件，通过平台的网络竞价系统进行动态递增（减）报价，将报价最高者确定为承租（受让）方的竞价方式（反向竞价以报价最低者确定为承租（受让）方）。</w:t>
      </w:r>
    </w:p>
    <w:p w14:paraId="1CCE7BC4">
      <w:pPr>
        <w:pStyle w:val="2"/>
        <w:pageBreakBefore w:val="0"/>
        <w:widowControl w:val="0"/>
        <w:kinsoku/>
        <w:wordWrap/>
        <w:overflowPunct/>
        <w:topLinePunct w:val="0"/>
        <w:autoSpaceDE/>
        <w:autoSpaceDN/>
        <w:bidi w:val="0"/>
        <w:adjustRightInd/>
        <w:snapToGrid/>
        <w:spacing w:before="0" w:after="0" w:line="400" w:lineRule="exact"/>
        <w:ind w:firstLine="562"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FF0000"/>
          <w:sz w:val="28"/>
          <w:szCs w:val="28"/>
          <w:u w:val="single"/>
          <w:lang w:val="en-US" w:eastAsia="zh-CN"/>
        </w:rPr>
        <w:t>500</w:t>
      </w:r>
      <w:r>
        <w:rPr>
          <w:rFonts w:hint="eastAsia" w:ascii="新宋体" w:hAnsi="新宋体" w:eastAsia="新宋体" w:cs="Times New Roman"/>
          <w:sz w:val="28"/>
          <w:szCs w:val="28"/>
        </w:rPr>
        <w:t>元的整数倍（至少100元）。</w:t>
      </w:r>
    </w:p>
    <w:p w14:paraId="7C14CBDE">
      <w:pPr>
        <w:pStyle w:val="2"/>
        <w:pageBreakBefore w:val="0"/>
        <w:widowControl w:val="0"/>
        <w:kinsoku/>
        <w:wordWrap/>
        <w:overflowPunct/>
        <w:topLinePunct w:val="0"/>
        <w:autoSpaceDE/>
        <w:autoSpaceDN/>
        <w:bidi w:val="0"/>
        <w:adjustRightInd/>
        <w:snapToGrid/>
        <w:spacing w:before="0" w:after="0" w:line="400" w:lineRule="exact"/>
        <w:ind w:firstLine="562"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2A5CFEC">
      <w:pPr>
        <w:pageBreakBefore w:val="0"/>
        <w:widowControl w:val="0"/>
        <w:kinsoku/>
        <w:wordWrap/>
        <w:overflowPunct/>
        <w:topLinePunct w:val="0"/>
        <w:autoSpaceDE/>
        <w:autoSpaceDN/>
        <w:bidi w:val="0"/>
        <w:adjustRightInd/>
        <w:snapToGrid/>
        <w:spacing w:line="4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6、</w:t>
      </w:r>
      <w:r>
        <w:rPr>
          <w:rFonts w:hint="eastAsia" w:ascii="新宋体" w:hAnsi="新宋体" w:eastAsia="新宋体" w:cs="Times New Roman"/>
          <w:b/>
          <w:bCs/>
          <w:sz w:val="28"/>
          <w:szCs w:val="28"/>
          <w:lang w:val="en-US" w:eastAsia="zh-CN"/>
        </w:rPr>
        <w:t>阶梯</w:t>
      </w:r>
      <w:r>
        <w:rPr>
          <w:rFonts w:hint="eastAsia" w:ascii="新宋体" w:hAnsi="新宋体" w:eastAsia="新宋体" w:cs="Times New Roman"/>
          <w:b/>
          <w:bCs/>
          <w:sz w:val="28"/>
          <w:szCs w:val="28"/>
        </w:rPr>
        <w:t>竞价期从</w:t>
      </w:r>
      <w:r>
        <w:rPr>
          <w:rFonts w:hint="eastAsia" w:ascii="新宋体" w:hAnsi="新宋体" w:eastAsia="新宋体" w:cs="Times New Roman"/>
          <w:b/>
          <w:bCs/>
          <w:color w:val="FF0000"/>
          <w:sz w:val="28"/>
          <w:szCs w:val="28"/>
          <w:u w:val="single"/>
        </w:rPr>
        <w:t>202</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w:t>
      </w:r>
      <w:r>
        <w:rPr>
          <w:rFonts w:hint="eastAsia" w:ascii="新宋体" w:hAnsi="新宋体" w:eastAsia="新宋体" w:cs="Times New Roman"/>
          <w:b/>
          <w:bCs/>
          <w:color w:val="FF0000"/>
          <w:sz w:val="28"/>
          <w:szCs w:val="28"/>
          <w:u w:val="single"/>
          <w:lang w:val="en-US" w:eastAsia="zh-CN"/>
        </w:rPr>
        <w:t xml:space="preserve">8-31 </w:t>
      </w:r>
      <w:r>
        <w:rPr>
          <w:rFonts w:hint="eastAsia" w:ascii="新宋体" w:hAnsi="新宋体" w:eastAsia="新宋体" w:cs="Times New Roman"/>
          <w:b/>
          <w:bCs/>
          <w:color w:val="FF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832A66A">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8C47271">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1AD42BA2">
      <w:pPr>
        <w:pageBreakBefore w:val="0"/>
        <w:widowControl w:val="0"/>
        <w:kinsoku/>
        <w:wordWrap/>
        <w:overflowPunct/>
        <w:topLinePunct w:val="0"/>
        <w:autoSpaceDE/>
        <w:autoSpaceDN/>
        <w:bidi w:val="0"/>
        <w:adjustRightInd/>
        <w:snapToGrid/>
        <w:spacing w:line="500" w:lineRule="exact"/>
        <w:ind w:firstLine="562" w:firstLineChars="200"/>
        <w:textAlignment w:val="auto"/>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41E0DE51">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1370F1CB">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3FD84CD5">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02289134">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1DEBAC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7D332B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6F3C864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8B1F8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1B745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08FD5F3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5A394AE5">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4CCFA3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EE0D75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76526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C81AE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7492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6E7A7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B5C2E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2BA825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521C60B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02C3E9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3B92C56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2B112D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66D86B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56DF00D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5F9075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8D184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07D5B7C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47A7EB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2ABDFB7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5D386A1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6680E0B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AEC48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E6554C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8797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772A0A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9738F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04AEF6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057F871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7A6E0B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9639ED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35681E6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B92A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4AD432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77992A8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9C3C0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37F108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F216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739BBE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36A8E25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1E08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963D5F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623D8E3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475F94E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823A8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DB6868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7442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64CB5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8D708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5219B91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41E83B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8E7925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76749F1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1A558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70E69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1B13CC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1EE15F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79B1C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9C7022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AF376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37BCF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D0E042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3CE58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FD394E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0E015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41C3A3D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9D58FD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EC3A3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199049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68"/>
        <w:gridCol w:w="6431"/>
      </w:tblGrid>
      <w:tr w14:paraId="32C3E12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B15F48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541"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00AC41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琼中黎族苗族自治县农村产权交易中心有限公司</w:t>
            </w:r>
          </w:p>
        </w:tc>
      </w:tr>
      <w:tr w14:paraId="6528D4D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C7BBC3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541"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B5F69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海南农村商业银行股份有限公司琼中支行</w:t>
            </w:r>
          </w:p>
        </w:tc>
      </w:tr>
      <w:tr w14:paraId="6F70B9FD">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0DE37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541"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C2405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1020352900000356</w:t>
            </w:r>
          </w:p>
        </w:tc>
      </w:tr>
    </w:tbl>
    <w:p w14:paraId="1A885D64">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rPr>
        <w:fldChar w:fldCharType="begin"/>
      </w:r>
      <w:r>
        <w:rPr>
          <w:rFonts w:hint="eastAsia" w:ascii="新宋体" w:hAnsi="新宋体" w:eastAsia="新宋体" w:cs="Times New Roman"/>
          <w:sz w:val="28"/>
          <w:szCs w:val="28"/>
        </w:rPr>
        <w:instrText xml:space="preserve"> HYPERLINK "https://qiongzhong.nongjiao.com/info/46880" \o "琼中农村产权交易中心交易保证金操作规则（试行）" </w:instrText>
      </w:r>
      <w:r>
        <w:rPr>
          <w:rFonts w:hint="eastAsia" w:ascii="新宋体" w:hAnsi="新宋体" w:eastAsia="新宋体" w:cs="Times New Roman"/>
          <w:sz w:val="28"/>
          <w:szCs w:val="28"/>
        </w:rPr>
        <w:fldChar w:fldCharType="separate"/>
      </w:r>
      <w:r>
        <w:rPr>
          <w:rFonts w:hint="eastAsia" w:ascii="新宋体" w:hAnsi="新宋体" w:eastAsia="新宋体" w:cs="Times New Roman"/>
          <w:sz w:val="28"/>
          <w:szCs w:val="28"/>
        </w:rPr>
        <w:t>琼中农村产权交易中心交易保证金操作规则（试行）</w:t>
      </w:r>
      <w:r>
        <w:rPr>
          <w:rFonts w:hint="eastAsia" w:ascii="新宋体" w:hAnsi="新宋体" w:eastAsia="新宋体" w:cs="Times New Roman"/>
          <w:sz w:val="28"/>
          <w:szCs w:val="28"/>
        </w:rPr>
        <w:fldChar w:fldCharType="end"/>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7AFDA5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41A732F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2C0902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F7D5E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220390F7">
      <w:pPr>
        <w:pStyle w:val="10"/>
        <w:ind w:left="2250" w:hanging="1200"/>
      </w:pPr>
    </w:p>
    <w:p w14:paraId="64BE83CD"/>
    <w:p w14:paraId="4FABB699">
      <w:pPr>
        <w:pStyle w:val="5"/>
      </w:pPr>
    </w:p>
    <w:p w14:paraId="3F01258A">
      <w:pPr>
        <w:spacing w:line="520" w:lineRule="exact"/>
      </w:pPr>
      <w:r>
        <w:rPr>
          <w:rFonts w:hint="eastAsia" w:ascii="Times New Roman" w:hAnsi="Times New Roman"/>
          <w:sz w:val="32"/>
          <w:szCs w:val="32"/>
        </w:rPr>
        <w:t>已详细阅读此竞价须知，对此竞价须知无异议。</w:t>
      </w:r>
    </w:p>
    <w:p w14:paraId="3F394389">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B03A663">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8D15547">
      <w:pPr>
        <w:pStyle w:val="3"/>
        <w:spacing w:line="240" w:lineRule="auto"/>
        <w:rPr>
          <w:rFonts w:ascii="黑体" w:hAnsi="黑体"/>
          <w:color w:val="000000"/>
        </w:rPr>
      </w:pPr>
    </w:p>
    <w:p w14:paraId="76F4A743">
      <w:pPr>
        <w:pStyle w:val="3"/>
        <w:spacing w:line="240" w:lineRule="auto"/>
        <w:jc w:val="both"/>
        <w:rPr>
          <w:rFonts w:ascii="黑体" w:hAnsi="黑体"/>
          <w:color w:val="000000"/>
        </w:rPr>
      </w:pPr>
    </w:p>
    <w:p w14:paraId="19CF6776">
      <w:pPr>
        <w:rPr>
          <w:rFonts w:ascii="黑体" w:hAnsi="黑体"/>
          <w:color w:val="000000"/>
        </w:rPr>
      </w:pPr>
    </w:p>
    <w:p w14:paraId="6032E761">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D9274FA">
      <w:pPr>
        <w:pStyle w:val="3"/>
        <w:spacing w:line="240" w:lineRule="auto"/>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83F1F3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hint="eastAsia" w:ascii="Times New Roman" w:hAnsi="Times New Roman"/>
          <w:sz w:val="28"/>
          <w:szCs w:val="28"/>
        </w:rPr>
        <w:fldChar w:fldCharType="begin"/>
      </w:r>
      <w:r>
        <w:rPr>
          <w:rFonts w:hint="eastAsia" w:ascii="Times New Roman" w:hAnsi="Times New Roman"/>
          <w:sz w:val="28"/>
          <w:szCs w:val="28"/>
        </w:rPr>
        <w:instrText xml:space="preserve"> HYPERLINK "https://qiongzhong.nongjiao.com/info/46880" \o "琼中农村产权交易中心交易保证金操作规则（试行）" </w:instrText>
      </w:r>
      <w:r>
        <w:rPr>
          <w:rFonts w:hint="eastAsia" w:ascii="Times New Roman" w:hAnsi="Times New Roman"/>
          <w:sz w:val="28"/>
          <w:szCs w:val="28"/>
        </w:rPr>
        <w:fldChar w:fldCharType="separate"/>
      </w:r>
      <w:r>
        <w:rPr>
          <w:rFonts w:hint="eastAsia" w:ascii="Times New Roman" w:hAnsi="Times New Roman"/>
          <w:sz w:val="28"/>
          <w:szCs w:val="28"/>
        </w:rPr>
        <w:t>琼中农村产权交易中心</w:t>
      </w:r>
      <w:r>
        <w:rPr>
          <w:rFonts w:hint="eastAsia" w:ascii="Times New Roman" w:hAnsi="Times New Roman"/>
          <w:sz w:val="28"/>
          <w:szCs w:val="28"/>
        </w:rPr>
        <w:fldChar w:fldCharType="end"/>
      </w:r>
      <w:r>
        <w:rPr>
          <w:rFonts w:hint="eastAsia" w:ascii="Times New Roman" w:hAnsi="Times New Roman"/>
          <w:sz w:val="28"/>
          <w:szCs w:val="28"/>
        </w:rPr>
        <w:t>：</w:t>
      </w:r>
    </w:p>
    <w:p w14:paraId="6635DDB4">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琼中黎族苗族自治县湾岭镇岭门村山心一村组股份经济合作社67.35亩集体油茶基地采摘经营权出租 </w:t>
      </w:r>
      <w:r>
        <w:rPr>
          <w:rFonts w:ascii="Times New Roman" w:hAnsi="Times New Roman"/>
          <w:sz w:val="28"/>
          <w:szCs w:val="28"/>
        </w:rPr>
        <w:t>”</w:t>
      </w:r>
      <w:r>
        <w:rPr>
          <w:rFonts w:hint="eastAsia" w:ascii="Times New Roman" w:hAnsi="Times New Roman"/>
          <w:sz w:val="28"/>
          <w:szCs w:val="28"/>
        </w:rPr>
        <w:t>项目网络竞价活动作出如下承诺：</w:t>
      </w:r>
    </w:p>
    <w:p w14:paraId="48FF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琼中黎族苗族自治县湾岭镇岭门村山心一村组股份经济合作社67.35亩集体油茶基地采摘经营权出租 </w:t>
      </w:r>
      <w:r>
        <w:rPr>
          <w:rFonts w:ascii="Times New Roman" w:hAnsi="Times New Roman"/>
          <w:sz w:val="28"/>
          <w:szCs w:val="28"/>
        </w:rPr>
        <w:t>”</w:t>
      </w:r>
      <w:r>
        <w:rPr>
          <w:rFonts w:hint="eastAsia" w:ascii="Times New Roman" w:hAnsi="Times New Roman"/>
          <w:sz w:val="28"/>
          <w:szCs w:val="28"/>
        </w:rPr>
        <w:t>项目网络竞价活动，并参与报价。</w:t>
      </w:r>
    </w:p>
    <w:p w14:paraId="345BD8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琼中黎族苗族自治县湾岭镇岭门村山心一村组股份经济合作社67.35亩集体油茶基地采摘经营权出租 </w:t>
      </w:r>
      <w:r>
        <w:rPr>
          <w:rFonts w:ascii="Times New Roman" w:hAnsi="Times New Roman"/>
          <w:sz w:val="28"/>
          <w:szCs w:val="28"/>
        </w:rPr>
        <w:t>”</w:t>
      </w:r>
      <w:r>
        <w:rPr>
          <w:rFonts w:hint="eastAsia" w:ascii="Times New Roman" w:hAnsi="Times New Roman"/>
          <w:sz w:val="28"/>
          <w:szCs w:val="28"/>
        </w:rPr>
        <w:t>项目和</w:t>
      </w:r>
      <w:r>
        <w:rPr>
          <w:rFonts w:hint="eastAsia" w:ascii="Times New Roman" w:hAnsi="Times New Roman"/>
          <w:sz w:val="28"/>
          <w:szCs w:val="28"/>
          <w:lang w:eastAsia="zh-CN"/>
        </w:rPr>
        <w:t>《</w:t>
      </w:r>
      <w:r>
        <w:rPr>
          <w:rFonts w:hint="eastAsia" w:ascii="Times New Roman" w:hAnsi="Times New Roman"/>
          <w:sz w:val="28"/>
          <w:szCs w:val="28"/>
          <w:lang w:val="en-US" w:eastAsia="zh-CN"/>
        </w:rPr>
        <w:t>琼中黎族苗族自治县</w:t>
      </w:r>
      <w:r>
        <w:rPr>
          <w:rFonts w:hint="eastAsia" w:ascii="Times New Roman" w:hAnsi="Times New Roman"/>
          <w:sz w:val="28"/>
          <w:szCs w:val="28"/>
        </w:rPr>
        <w:t>农村产权交易中心网络竞价实施办法（试行）</w:t>
      </w:r>
      <w:r>
        <w:rPr>
          <w:rFonts w:hint="eastAsia" w:ascii="新宋体" w:hAnsi="新宋体" w:eastAsia="新宋体"/>
          <w:sz w:val="28"/>
          <w:szCs w:val="28"/>
        </w:rPr>
        <w:t>》《</w:t>
      </w:r>
      <w:r>
        <w:rPr>
          <w:rFonts w:hint="eastAsia" w:ascii="Times New Roman" w:hAnsi="Times New Roman"/>
          <w:sz w:val="28"/>
          <w:szCs w:val="28"/>
        </w:rPr>
        <w:t>网络竞价须知》已充分了解，并自愿遵守文件中的相关规定。</w:t>
      </w:r>
    </w:p>
    <w:p w14:paraId="6AF293B9">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琼中</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平台（https://qiongzhong.nongjiao.com）</w:t>
      </w:r>
      <w:r>
        <w:rPr>
          <w:rFonts w:hint="eastAsia" w:ascii="Times New Roman" w:hAnsi="Times New Roman"/>
          <w:sz w:val="28"/>
          <w:szCs w:val="28"/>
        </w:rPr>
        <w:t>无关。</w:t>
      </w:r>
    </w:p>
    <w:p w14:paraId="5E878CA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2650375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琼中</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平台书面通知要求与出租（转让）方签署交易合同，并按《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2D6725C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7F21594">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CEBE33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56EDA5E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DEB0C7D">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CD0384E">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AFABA0D">
      <w:pPr>
        <w:rPr>
          <w:rFonts w:ascii="仿宋_GB2312" w:hAnsi="仿宋_GB2312" w:eastAsia="仿宋_GB2312" w:cs="仿宋_GB2312"/>
          <w:color w:val="000000"/>
          <w:sz w:val="36"/>
          <w:szCs w:val="30"/>
        </w:rPr>
      </w:pPr>
    </w:p>
    <w:p w14:paraId="7080E52E">
      <w:pPr>
        <w:rPr>
          <w:rFonts w:ascii="仿宋_GB2312" w:hAnsi="仿宋_GB2312" w:eastAsia="仿宋_GB2312" w:cs="仿宋_GB2312"/>
          <w:color w:val="000000"/>
          <w:sz w:val="30"/>
          <w:szCs w:val="30"/>
        </w:rPr>
      </w:pPr>
    </w:p>
    <w:p w14:paraId="36CDD3B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79179">
      <w:pPr>
        <w:rPr>
          <w:rFonts w:ascii="仿宋_GB2312" w:hAnsi="仿宋_GB2312" w:eastAsia="仿宋_GB2312" w:cs="仿宋_GB2312"/>
          <w:b/>
          <w:color w:val="000000"/>
          <w:sz w:val="30"/>
          <w:szCs w:val="30"/>
        </w:rPr>
      </w:pPr>
    </w:p>
    <w:p w14:paraId="5958559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D4A710E">
      <w:pPr>
        <w:rPr>
          <w:rFonts w:ascii="仿宋_GB2312" w:hAnsi="仿宋_GB2312" w:eastAsia="仿宋_GB2312" w:cs="仿宋_GB2312"/>
          <w:b/>
          <w:color w:val="000000"/>
          <w:sz w:val="30"/>
          <w:szCs w:val="30"/>
          <w:u w:val="single"/>
        </w:rPr>
      </w:pPr>
    </w:p>
    <w:p w14:paraId="7A56FEC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7A9EBDB">
                            <w:pPr>
                              <w:jc w:val="center"/>
                              <w:rPr>
                                <w:b/>
                                <w:sz w:val="42"/>
                              </w:rPr>
                            </w:pPr>
                          </w:p>
                          <w:p w14:paraId="2F7E6D25">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394B664">
                            <w:pPr>
                              <w:rPr>
                                <w:rFonts w:ascii="仿宋_GB2312" w:hAnsi="仿宋_GB2312" w:eastAsia="仿宋_GB2312" w:cs="仿宋_GB2312"/>
                                <w:sz w:val="24"/>
                              </w:rPr>
                            </w:pPr>
                          </w:p>
                          <w:p w14:paraId="3460EA0A">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琼中</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1C67120A">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ECF699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50D626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7A9EBDB">
                      <w:pPr>
                        <w:jc w:val="center"/>
                        <w:rPr>
                          <w:b/>
                          <w:sz w:val="42"/>
                        </w:rPr>
                      </w:pPr>
                    </w:p>
                    <w:p w14:paraId="2F7E6D25">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394B664">
                      <w:pPr>
                        <w:rPr>
                          <w:rFonts w:ascii="仿宋_GB2312" w:hAnsi="仿宋_GB2312" w:eastAsia="仿宋_GB2312" w:cs="仿宋_GB2312"/>
                          <w:sz w:val="24"/>
                        </w:rPr>
                      </w:pPr>
                    </w:p>
                    <w:p w14:paraId="3460EA0A">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琼中</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1C67120A">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ECF699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50D626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5BB4A9E">
      <w:pPr>
        <w:rPr>
          <w:rFonts w:ascii="仿宋_GB2312" w:hAnsi="仿宋_GB2312" w:eastAsia="仿宋_GB2312" w:cs="仿宋_GB2312"/>
          <w:color w:val="000000"/>
          <w:sz w:val="30"/>
          <w:szCs w:val="30"/>
        </w:rPr>
      </w:pPr>
    </w:p>
    <w:p w14:paraId="0073C273">
      <w:pPr>
        <w:rPr>
          <w:rFonts w:ascii="仿宋_GB2312" w:hAnsi="仿宋_GB2312" w:eastAsia="仿宋_GB2312" w:cs="仿宋_GB2312"/>
          <w:color w:val="000000"/>
          <w:sz w:val="30"/>
          <w:szCs w:val="30"/>
        </w:rPr>
      </w:pPr>
    </w:p>
    <w:p w14:paraId="2A15C4AD">
      <w:pPr>
        <w:rPr>
          <w:rFonts w:ascii="仿宋_GB2312" w:hAnsi="仿宋_GB2312" w:eastAsia="仿宋_GB2312" w:cs="仿宋_GB2312"/>
          <w:color w:val="000000"/>
          <w:sz w:val="30"/>
          <w:szCs w:val="30"/>
        </w:rPr>
      </w:pPr>
    </w:p>
    <w:p w14:paraId="7F95A21F">
      <w:pPr>
        <w:rPr>
          <w:rFonts w:ascii="仿宋_GB2312" w:hAnsi="仿宋_GB2312" w:eastAsia="仿宋_GB2312" w:cs="仿宋_GB2312"/>
          <w:color w:val="000000"/>
          <w:sz w:val="30"/>
          <w:szCs w:val="30"/>
        </w:rPr>
      </w:pPr>
    </w:p>
    <w:p w14:paraId="29800F3B">
      <w:pPr>
        <w:rPr>
          <w:rFonts w:ascii="仿宋_GB2312" w:hAnsi="仿宋_GB2312" w:eastAsia="仿宋_GB2312" w:cs="仿宋_GB2312"/>
          <w:color w:val="000000"/>
          <w:sz w:val="30"/>
          <w:szCs w:val="30"/>
        </w:rPr>
      </w:pPr>
    </w:p>
    <w:p w14:paraId="28E2D1EC">
      <w:pPr>
        <w:rPr>
          <w:rFonts w:ascii="仿宋_GB2312" w:hAnsi="仿宋_GB2312" w:eastAsia="仿宋_GB2312" w:cs="仿宋_GB2312"/>
          <w:color w:val="000000"/>
          <w:sz w:val="30"/>
          <w:szCs w:val="30"/>
        </w:rPr>
      </w:pPr>
    </w:p>
    <w:p w14:paraId="2724A8A2">
      <w:pPr>
        <w:rPr>
          <w:rFonts w:ascii="仿宋_GB2312" w:hAnsi="仿宋_GB2312" w:eastAsia="仿宋_GB2312" w:cs="仿宋_GB2312"/>
          <w:color w:val="000000"/>
          <w:sz w:val="30"/>
          <w:szCs w:val="30"/>
        </w:rPr>
      </w:pPr>
    </w:p>
    <w:p w14:paraId="75C74552">
      <w:pPr>
        <w:pStyle w:val="5"/>
      </w:pPr>
    </w:p>
    <w:p w14:paraId="0972CEE3">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琼中农村产权交易中心</w:t>
      </w:r>
      <w:r>
        <w:rPr>
          <w:rFonts w:hint="eastAsia" w:ascii="仿宋_GB2312" w:hAnsi="仿宋_GB2312" w:eastAsia="仿宋_GB2312" w:cs="仿宋_GB2312"/>
          <w:b/>
          <w:color w:val="000000"/>
          <w:sz w:val="36"/>
          <w:szCs w:val="30"/>
        </w:rPr>
        <w:t>制</w:t>
      </w:r>
    </w:p>
    <w:p w14:paraId="6B00048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1AFD5F3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72845D80">
      <w:pPr>
        <w:pStyle w:val="3"/>
        <w:spacing w:line="400" w:lineRule="exact"/>
        <w:rPr>
          <w:rFonts w:ascii="仿宋" w:hAnsi="仿宋"/>
          <w:bCs/>
          <w:szCs w:val="36"/>
        </w:rPr>
      </w:pPr>
      <w:r>
        <w:rPr>
          <w:rFonts w:hint="eastAsia"/>
          <w:bCs/>
          <w:szCs w:val="36"/>
        </w:rPr>
        <w:t>意向承租（受让）函</w:t>
      </w:r>
    </w:p>
    <w:p w14:paraId="38D4707E">
      <w:pPr>
        <w:rPr>
          <w:rFonts w:ascii="Times New Roman" w:hAnsi="Times New Roman" w:eastAsia="黑体"/>
          <w:b w:val="0"/>
          <w:bCs w:val="0"/>
          <w:sz w:val="24"/>
        </w:rPr>
      </w:pPr>
      <w:r>
        <w:rPr>
          <w:rFonts w:hint="eastAsia" w:ascii="Times New Roman" w:hAnsi="Times New Roman" w:eastAsia="黑体"/>
          <w:b w:val="0"/>
          <w:bCs w:val="0"/>
          <w:sz w:val="24"/>
          <w:lang w:val="en-US" w:eastAsia="zh-CN"/>
        </w:rPr>
        <w:t>琼中农村产权交易中心</w:t>
      </w:r>
      <w:r>
        <w:rPr>
          <w:rFonts w:hint="eastAsia" w:ascii="Times New Roman" w:hAnsi="Times New Roman" w:eastAsia="黑体"/>
          <w:b w:val="0"/>
          <w:bCs w:val="0"/>
          <w:sz w:val="24"/>
        </w:rPr>
        <w:t>：</w:t>
      </w:r>
    </w:p>
    <w:p w14:paraId="048DA27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琼中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平台（https://qiongzhong.nongjiao.com，以下简称“平台”）申请承租（受让）</w:t>
      </w:r>
      <w:r>
        <w:rPr>
          <w:rFonts w:hint="eastAsia" w:ascii="新宋体" w:hAnsi="新宋体" w:eastAsia="新宋体"/>
          <w:b/>
          <w:bCs/>
          <w:color w:val="C00000"/>
          <w:sz w:val="24"/>
          <w:szCs w:val="24"/>
          <w:u w:val="single"/>
          <w:lang w:val="en-US" w:eastAsia="zh-CN"/>
        </w:rPr>
        <w:t xml:space="preserve">琼中黎族苗族自治县湾岭镇岭门村山心一村组股份经济合作社67.35亩集体油茶基地采摘经营权出租 </w:t>
      </w:r>
      <w:r>
        <w:rPr>
          <w:rFonts w:hint="eastAsia" w:ascii="Times New Roman" w:hAnsi="Times New Roman"/>
          <w:bCs/>
          <w:sz w:val="24"/>
          <w:lang w:val="en-US" w:eastAsia="zh-CN"/>
        </w:rPr>
        <w:t>项目</w:t>
      </w:r>
      <w:r>
        <w:rPr>
          <w:rFonts w:hint="eastAsia" w:ascii="Times New Roman" w:hAnsi="Times New Roman"/>
          <w:bCs/>
          <w:sz w:val="24"/>
        </w:rPr>
        <w:t>，并承诺：</w:t>
      </w:r>
    </w:p>
    <w:p w14:paraId="0D088257">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3074FB8">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29A2C3CB">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22714BB8">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琼中</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5B2943DD">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8D43D09">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DFD3A5B">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B9FD997">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A9BDF3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289DB9D">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琼中农村产权交易中心</w:t>
      </w:r>
      <w:r>
        <w:rPr>
          <w:rFonts w:hint="eastAsia" w:ascii="Times New Roman" w:hAnsi="Times New Roman"/>
          <w:b/>
          <w:sz w:val="24"/>
          <w:szCs w:val="24"/>
        </w:rPr>
        <w:t>。</w:t>
      </w:r>
      <w:bookmarkEnd w:id="20"/>
      <w:bookmarkEnd w:id="21"/>
      <w:bookmarkEnd w:id="22"/>
    </w:p>
    <w:p w14:paraId="19C8F97B">
      <w:pPr>
        <w:spacing w:line="312" w:lineRule="auto"/>
        <w:ind w:firstLine="3840" w:firstLineChars="1600"/>
        <w:rPr>
          <w:rFonts w:ascii="宋体" w:hAnsi="宋体" w:eastAsia="宋体" w:cs="宋体"/>
          <w:sz w:val="24"/>
        </w:rPr>
      </w:pPr>
    </w:p>
    <w:p w14:paraId="5ADE59AE">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3EDFF19F">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39237205">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6F11E50">
      <w:pPr>
        <w:pStyle w:val="3"/>
        <w:spacing w:line="240" w:lineRule="auto"/>
        <w:rPr>
          <w:rFonts w:ascii="黑体" w:hAnsi="黑体"/>
          <w:color w:val="000000"/>
        </w:rPr>
      </w:pPr>
      <w:bookmarkStart w:id="28" w:name="_Toc4580"/>
      <w:bookmarkStart w:id="29" w:name="_Toc12264"/>
      <w:bookmarkStart w:id="30" w:name="_Toc29841"/>
      <w:bookmarkStart w:id="31" w:name="_Toc11237"/>
      <w:bookmarkStart w:id="32" w:name="_Toc14469"/>
      <w:bookmarkStart w:id="33" w:name="_Toc32101"/>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17DEF86">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B7E9230">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3D4B62">
            <w:pPr>
              <w:pStyle w:val="2"/>
            </w:pPr>
          </w:p>
        </w:tc>
      </w:tr>
      <w:tr w14:paraId="71BF980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F13E91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5BE26A1">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193E4E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ECD29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7521DA7">
            <w:pPr>
              <w:spacing w:line="360" w:lineRule="auto"/>
              <w:rPr>
                <w:rFonts w:ascii="宋体" w:hAnsi="宋体" w:eastAsia="宋体"/>
                <w:sz w:val="22"/>
              </w:rPr>
            </w:pPr>
          </w:p>
        </w:tc>
      </w:tr>
      <w:tr w14:paraId="263A1A7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9C2E38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F9C942">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39F4598">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0D552F7">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D0FD729">
            <w:pPr>
              <w:spacing w:line="360" w:lineRule="auto"/>
              <w:rPr>
                <w:rFonts w:ascii="宋体" w:hAnsi="宋体" w:eastAsia="宋体"/>
                <w:sz w:val="22"/>
              </w:rPr>
            </w:pPr>
          </w:p>
        </w:tc>
      </w:tr>
      <w:tr w14:paraId="6BC1CE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D52EF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45C977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31B6C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61B7AB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604653">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6210F6B">
            <w:pPr>
              <w:spacing w:line="360" w:lineRule="auto"/>
              <w:rPr>
                <w:rFonts w:ascii="宋体" w:hAnsi="宋体" w:eastAsia="宋体"/>
                <w:sz w:val="22"/>
              </w:rPr>
            </w:pPr>
          </w:p>
        </w:tc>
      </w:tr>
      <w:tr w14:paraId="319A8B5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F067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DB41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0489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6F55D05">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DE34EF0">
            <w:pPr>
              <w:spacing w:line="360" w:lineRule="auto"/>
              <w:rPr>
                <w:rFonts w:ascii="宋体" w:hAnsi="宋体" w:eastAsia="宋体"/>
                <w:sz w:val="22"/>
              </w:rPr>
            </w:pPr>
          </w:p>
        </w:tc>
      </w:tr>
      <w:tr w14:paraId="28CDCB0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F6A1C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1F0B19">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C728E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CC80EC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BBAD127">
            <w:pPr>
              <w:spacing w:line="360" w:lineRule="auto"/>
              <w:rPr>
                <w:rFonts w:ascii="宋体" w:hAnsi="宋体" w:eastAsia="宋体"/>
                <w:sz w:val="22"/>
              </w:rPr>
            </w:pPr>
          </w:p>
        </w:tc>
      </w:tr>
      <w:tr w14:paraId="19DD0C02">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B6A8D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8D3368">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F02686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5F734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EAD342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36597E6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BB54DE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079A58B">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8BC182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61049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ECEB4C4">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4FD41D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DABCEB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341E986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D0D295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813803C">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CEA14F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C5FAE8">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07B7022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F3EB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4C484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A47940">
            <w:pPr>
              <w:spacing w:line="360" w:lineRule="auto"/>
              <w:jc w:val="center"/>
              <w:rPr>
                <w:rFonts w:ascii="宋体" w:hAnsi="宋体" w:eastAsia="宋体"/>
                <w:sz w:val="22"/>
              </w:rPr>
            </w:pPr>
          </w:p>
        </w:tc>
      </w:tr>
      <w:tr w14:paraId="7B43025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9096BAC">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F329DA">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941F9F6">
            <w:pPr>
              <w:spacing w:line="360" w:lineRule="auto"/>
              <w:rPr>
                <w:rFonts w:ascii="宋体" w:hAnsi="宋体" w:eastAsia="宋体"/>
                <w:sz w:val="22"/>
              </w:rPr>
            </w:pPr>
          </w:p>
        </w:tc>
      </w:tr>
      <w:tr w14:paraId="0D3D9CC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BC51B9">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D56BA53">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6CB5925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51766F2B">
            <w:pPr>
              <w:spacing w:line="360" w:lineRule="auto"/>
              <w:ind w:left="48"/>
              <w:rPr>
                <w:rFonts w:ascii="宋体" w:hAnsi="宋体" w:eastAsia="宋体"/>
                <w:sz w:val="22"/>
              </w:rPr>
            </w:pPr>
            <w:r>
              <w:rPr>
                <w:rFonts w:hint="eastAsia" w:ascii="宋体" w:hAnsi="宋体" w:eastAsia="宋体"/>
                <w:sz w:val="22"/>
              </w:rPr>
              <w:t>报表时间：</w:t>
            </w:r>
          </w:p>
        </w:tc>
      </w:tr>
      <w:tr w14:paraId="11E8EBA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F7B2C59">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71AEB0D">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6EBC9B5">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21E2C7B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B124291">
            <w:pPr>
              <w:pStyle w:val="17"/>
              <w:spacing w:line="360" w:lineRule="auto"/>
              <w:jc w:val="center"/>
            </w:pPr>
          </w:p>
          <w:p w14:paraId="491D2966"/>
        </w:tc>
        <w:tc>
          <w:tcPr>
            <w:tcW w:w="795" w:type="dxa"/>
            <w:gridSpan w:val="3"/>
            <w:tcBorders>
              <w:top w:val="single" w:color="auto" w:sz="4" w:space="0"/>
              <w:left w:val="single" w:color="auto" w:sz="4" w:space="0"/>
              <w:bottom w:val="single" w:color="auto" w:sz="4" w:space="0"/>
              <w:right w:val="single" w:color="auto" w:sz="4" w:space="0"/>
            </w:tcBorders>
            <w:vAlign w:val="center"/>
          </w:tcPr>
          <w:p w14:paraId="77A7B24D">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D599616">
            <w:pPr>
              <w:pStyle w:val="17"/>
              <w:spacing w:line="360" w:lineRule="auto"/>
              <w:jc w:val="center"/>
            </w:pPr>
          </w:p>
          <w:p w14:paraId="7B55AD2C">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4707C3EA">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1D651CA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B30D708">
            <w:pPr>
              <w:pStyle w:val="17"/>
              <w:spacing w:line="360" w:lineRule="auto"/>
              <w:jc w:val="center"/>
              <w:rPr>
                <w:rFonts w:ascii="宋体" w:hAnsi="宋体" w:eastAsia="宋体"/>
                <w:sz w:val="22"/>
                <w:szCs w:val="24"/>
              </w:rPr>
            </w:pPr>
          </w:p>
        </w:tc>
      </w:tr>
      <w:tr w14:paraId="09EED05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ED1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C92DDF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784DF4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A7845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879E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2B5F74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611EF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1814C88">
            <w:pPr>
              <w:spacing w:line="360" w:lineRule="auto"/>
              <w:jc w:val="center"/>
              <w:rPr>
                <w:rFonts w:hint="default" w:ascii="宋体" w:hAnsi="宋体" w:eastAsia="宋体"/>
                <w:sz w:val="22"/>
                <w:lang w:val="en-US" w:eastAsia="zh-CN"/>
              </w:rPr>
            </w:pPr>
          </w:p>
        </w:tc>
      </w:tr>
      <w:tr w14:paraId="775ACC0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D6CA4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E9D4D8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2CB3BA">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44D80A5">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408F13">
            <w:pPr>
              <w:spacing w:line="360" w:lineRule="auto"/>
              <w:jc w:val="center"/>
              <w:rPr>
                <w:rFonts w:hint="default" w:ascii="宋体" w:hAnsi="宋体" w:eastAsia="宋体"/>
                <w:sz w:val="22"/>
                <w:lang w:val="en-US" w:eastAsia="zh-CN"/>
              </w:rPr>
            </w:pPr>
          </w:p>
        </w:tc>
      </w:tr>
      <w:tr w14:paraId="26C621E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CAF4E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3ED003">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3419C32">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D5F933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6C8470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7C93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03292B9">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171FFE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BAA8F2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F9B1110">
            <w:pPr>
              <w:spacing w:line="360" w:lineRule="auto"/>
              <w:rPr>
                <w:rFonts w:hint="eastAsia" w:ascii="宋体" w:hAnsi="宋体" w:eastAsia="宋体"/>
                <w:sz w:val="22"/>
                <w:lang w:val="en-US" w:eastAsia="zh-CN"/>
              </w:rPr>
            </w:pPr>
          </w:p>
        </w:tc>
      </w:tr>
      <w:tr w14:paraId="597A2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A1A928D">
            <w:pPr>
              <w:spacing w:line="360" w:lineRule="auto"/>
              <w:jc w:val="center"/>
              <w:rPr>
                <w:rFonts w:ascii="宋体" w:hAnsi="宋体" w:eastAsia="宋体"/>
                <w:bCs/>
                <w:sz w:val="22"/>
              </w:rPr>
            </w:pPr>
            <w:r>
              <w:rPr>
                <w:rFonts w:hint="eastAsia" w:ascii="宋体" w:hAnsi="宋体" w:eastAsia="宋体"/>
                <w:bCs/>
                <w:sz w:val="22"/>
              </w:rPr>
              <w:t>附件</w:t>
            </w:r>
          </w:p>
          <w:p w14:paraId="3688CA9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4B3EEC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0CD6B6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00FC31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9FC32A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084BE6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14EC8E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DB9B58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1C0C43D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A65EB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CC117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573FFC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DFE51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74F20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A811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8D485C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5D9C8658">
            <w:pPr>
              <w:spacing w:line="360" w:lineRule="auto"/>
              <w:jc w:val="left"/>
              <w:rPr>
                <w:rFonts w:ascii="宋体" w:hAnsi="宋体" w:eastAsia="宋体"/>
                <w:sz w:val="22"/>
              </w:rPr>
            </w:pPr>
          </w:p>
        </w:tc>
      </w:tr>
      <w:tr w14:paraId="336BBD12">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2B827411">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B5D466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933C513">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3BAB2226">
            <w:pPr>
              <w:spacing w:line="360" w:lineRule="auto"/>
              <w:jc w:val="left"/>
              <w:rPr>
                <w:rFonts w:ascii="宋体" w:hAnsi="宋体" w:eastAsia="宋体"/>
                <w:sz w:val="22"/>
              </w:rPr>
            </w:pPr>
          </w:p>
        </w:tc>
      </w:tr>
      <w:tr w14:paraId="4AB570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4FDA73C">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D174AC">
            <w:pPr>
              <w:spacing w:line="360" w:lineRule="auto"/>
              <w:jc w:val="center"/>
              <w:rPr>
                <w:rFonts w:ascii="宋体" w:hAnsi="宋体" w:eastAsia="宋体"/>
                <w:bCs/>
                <w:sz w:val="22"/>
              </w:rPr>
            </w:pPr>
            <w:r>
              <w:rPr>
                <w:rFonts w:hint="eastAsia" w:ascii="宋体" w:hAnsi="宋体" w:eastAsia="宋体"/>
                <w:bCs/>
                <w:sz w:val="22"/>
              </w:rPr>
              <w:t>法人单位</w:t>
            </w:r>
          </w:p>
          <w:p w14:paraId="0ABC99A2">
            <w:pPr>
              <w:spacing w:line="360" w:lineRule="auto"/>
              <w:jc w:val="center"/>
              <w:rPr>
                <w:rFonts w:ascii="宋体" w:hAnsi="宋体" w:eastAsia="宋体"/>
                <w:bCs/>
                <w:sz w:val="22"/>
              </w:rPr>
            </w:pPr>
            <w:r>
              <w:rPr>
                <w:rFonts w:hint="eastAsia" w:ascii="宋体" w:hAnsi="宋体" w:eastAsia="宋体"/>
                <w:bCs/>
                <w:sz w:val="22"/>
              </w:rPr>
              <w:t>（如农业企业，</w:t>
            </w:r>
          </w:p>
          <w:p w14:paraId="626F503E">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AC3E8E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1974F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CC2009">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4287B7E">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68C1E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0CA2D59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F8B3E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69C28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073724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19196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E75D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99E9DB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D6E4E1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61B4DCC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67D085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BF706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62FD98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BC364C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9160FC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61E57E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E744E98">
            <w:pPr>
              <w:spacing w:line="360" w:lineRule="auto"/>
              <w:jc w:val="left"/>
              <w:rPr>
                <w:rFonts w:hint="eastAsia" w:ascii="宋体" w:hAnsi="宋体" w:eastAsia="宋体"/>
                <w:bCs/>
                <w:sz w:val="22"/>
                <w:lang w:val="en-US" w:eastAsia="zh-CN"/>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r>
              <w:rPr>
                <w:rFonts w:hint="eastAsia" w:ascii="宋体" w:hAnsi="宋体" w:eastAsia="宋体"/>
                <w:sz w:val="22"/>
                <w:lang w:val="en-US" w:eastAsia="zh-CN"/>
              </w:rPr>
              <w:t>等</w:t>
            </w:r>
          </w:p>
        </w:tc>
      </w:tr>
      <w:tr w14:paraId="1BC7D3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D283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AB137C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9A1D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0A7F9C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A18B4D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BBA9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AA3759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4F25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99AFF42">
            <w:pPr>
              <w:spacing w:line="360" w:lineRule="auto"/>
              <w:jc w:val="left"/>
              <w:rPr>
                <w:rFonts w:ascii="宋体" w:hAnsi="宋体" w:eastAsia="宋体"/>
                <w:sz w:val="22"/>
              </w:rPr>
            </w:pPr>
          </w:p>
        </w:tc>
      </w:tr>
      <w:tr w14:paraId="61BFFAD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C4CA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6AFFF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62D38DC">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A2DECCB">
            <w:pPr>
              <w:spacing w:line="360" w:lineRule="auto"/>
              <w:jc w:val="left"/>
              <w:rPr>
                <w:rFonts w:ascii="宋体" w:hAnsi="宋体" w:eastAsia="宋体"/>
                <w:sz w:val="22"/>
              </w:rPr>
            </w:pPr>
          </w:p>
        </w:tc>
      </w:tr>
      <w:tr w14:paraId="421DA5F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950D0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D5D313A">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F796C05">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4B22B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8FE97A">
            <w:pPr>
              <w:spacing w:line="360" w:lineRule="auto"/>
              <w:rPr>
                <w:rFonts w:ascii="宋体" w:hAnsi="宋体" w:eastAsia="宋体"/>
                <w:sz w:val="22"/>
              </w:rPr>
            </w:pPr>
          </w:p>
        </w:tc>
      </w:tr>
      <w:tr w14:paraId="2C8F832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B52FE5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33D81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E7FD46B">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3238FB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DF7F54C">
            <w:pPr>
              <w:spacing w:line="360" w:lineRule="auto"/>
              <w:jc w:val="center"/>
              <w:rPr>
                <w:rFonts w:hint="default" w:ascii="宋体" w:hAnsi="宋体" w:eastAsia="宋体"/>
                <w:sz w:val="22"/>
                <w:lang w:val="en-US" w:eastAsia="zh-CN"/>
              </w:rPr>
            </w:pPr>
          </w:p>
        </w:tc>
      </w:tr>
    </w:tbl>
    <w:p w14:paraId="03BA80BB">
      <w:pPr>
        <w:spacing w:line="570" w:lineRule="exact"/>
        <w:jc w:val="center"/>
        <w:rPr>
          <w:rFonts w:hint="eastAsia" w:ascii="方正小标宋简体" w:hAnsi="方正小标宋简体" w:eastAsia="方正小标宋简体" w:cs="方正小标宋简体"/>
          <w:b/>
          <w:bCs/>
          <w:sz w:val="36"/>
          <w:szCs w:val="36"/>
          <w:u w:val="single"/>
        </w:rPr>
      </w:pPr>
    </w:p>
    <w:p w14:paraId="774549B7">
      <w:pPr>
        <w:spacing w:line="570" w:lineRule="exact"/>
        <w:jc w:val="center"/>
        <w:rPr>
          <w:rFonts w:hint="eastAsia" w:ascii="方正小标宋简体" w:hAnsi="方正小标宋简体" w:eastAsia="方正小标宋简体" w:cs="方正小标宋简体"/>
          <w:b/>
          <w:bCs/>
          <w:sz w:val="36"/>
          <w:szCs w:val="36"/>
          <w:u w:val="single"/>
        </w:rPr>
      </w:pPr>
    </w:p>
    <w:p w14:paraId="0FBA83C2">
      <w:pPr>
        <w:spacing w:line="570" w:lineRule="exact"/>
        <w:jc w:val="center"/>
        <w:rPr>
          <w:rFonts w:hint="eastAsia" w:ascii="方正小标宋简体" w:hAnsi="方正小标宋简体" w:eastAsia="方正小标宋简体" w:cs="方正小标宋简体"/>
          <w:b/>
          <w:bCs/>
          <w:sz w:val="36"/>
          <w:szCs w:val="36"/>
          <w:u w:val="single"/>
        </w:rPr>
      </w:pPr>
    </w:p>
    <w:p w14:paraId="1FFD7686">
      <w:pPr>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琼中黎族苗族自治县湾岭镇岭门村山心一村组股份经济合作社67.35亩集体油茶基地采摘经营权出租交易公示</w:t>
      </w:r>
    </w:p>
    <w:p w14:paraId="5A430AD2">
      <w:pPr>
        <w:pStyle w:val="2"/>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rPr>
      </w:pPr>
    </w:p>
    <w:p w14:paraId="46EC0671">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outlineLvl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经琼中黎族苗族自治县湾岭镇岭门村山心一村组股份经济合作社召开的会议决议，</w:t>
      </w:r>
      <w:r>
        <w:rPr>
          <w:rFonts w:hint="eastAsia" w:asciiTheme="minorEastAsia" w:hAnsiTheme="minorEastAsia" w:eastAsiaTheme="minorEastAsia" w:cstheme="minorEastAsia"/>
          <w:sz w:val="28"/>
          <w:szCs w:val="28"/>
          <w:lang w:val="en-US" w:eastAsia="zh-CN"/>
        </w:rPr>
        <w:t>同意</w:t>
      </w:r>
      <w:r>
        <w:rPr>
          <w:rFonts w:hint="eastAsia" w:asciiTheme="minorEastAsia" w:hAnsiTheme="minorEastAsia" w:cstheme="minorEastAsia"/>
          <w:b/>
          <w:bCs/>
          <w:sz w:val="28"/>
          <w:szCs w:val="28"/>
          <w:u w:val="single"/>
          <w:lang w:val="en-US" w:eastAsia="zh-CN"/>
        </w:rPr>
        <w:t>琼中黎族苗族自治县湾岭镇岭门村山心一村组股份经济合作社67.35亩集体油茶基地采摘经营权出租</w:t>
      </w:r>
      <w:r>
        <w:rPr>
          <w:rFonts w:hint="eastAsia" w:asciiTheme="minorEastAsia" w:hAnsiTheme="minorEastAsia" w:eastAsiaTheme="minorEastAsia" w:cstheme="minorEastAsia"/>
          <w:sz w:val="28"/>
          <w:szCs w:val="28"/>
          <w:lang w:val="en-US" w:eastAsia="zh-CN"/>
        </w:rPr>
        <w:t>在</w:t>
      </w:r>
      <w:r>
        <w:rPr>
          <w:rFonts w:hint="eastAsia" w:asciiTheme="minorEastAsia" w:hAnsiTheme="minorEastAsia" w:cstheme="minorEastAsia"/>
          <w:sz w:val="28"/>
          <w:szCs w:val="28"/>
          <w:lang w:val="en-US" w:eastAsia="zh-CN"/>
        </w:rPr>
        <w:t>琼中</w:t>
      </w:r>
      <w:r>
        <w:rPr>
          <w:rFonts w:hint="eastAsia" w:asciiTheme="minorEastAsia" w:hAnsiTheme="minorEastAsia" w:eastAsiaTheme="minorEastAsia" w:cstheme="minorEastAsia"/>
          <w:sz w:val="28"/>
          <w:szCs w:val="28"/>
        </w:rPr>
        <w:t>农村产权交易</w:t>
      </w:r>
      <w:r>
        <w:rPr>
          <w:rFonts w:hint="eastAsia" w:asciiTheme="minorEastAsia" w:hAnsiTheme="minorEastAsia" w:cstheme="minorEastAsia"/>
          <w:sz w:val="28"/>
          <w:szCs w:val="28"/>
          <w:lang w:val="en-US" w:eastAsia="zh-CN"/>
        </w:rPr>
        <w:t>中心</w:t>
      </w:r>
      <w:r>
        <w:rPr>
          <w:rFonts w:hint="eastAsia" w:asciiTheme="minorEastAsia" w:hAnsiTheme="minorEastAsia" w:eastAsiaTheme="minorEastAsia" w:cstheme="minorEastAsia"/>
          <w:sz w:val="28"/>
          <w:szCs w:val="28"/>
        </w:rPr>
        <w:t>平台</w:t>
      </w:r>
      <w:r>
        <w:rPr>
          <w:rFonts w:hint="eastAsia" w:asciiTheme="minorEastAsia" w:hAnsiTheme="minorEastAsia" w:cstheme="minorEastAsia"/>
          <w:sz w:val="28"/>
          <w:szCs w:val="28"/>
          <w:lang w:val="en-US" w:eastAsia="zh-CN"/>
        </w:rPr>
        <w:t>（https://qiongzhong.nongjiao.com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570FD67D">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8A1B4C1">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 xml:space="preserve">琼中黎族苗族自治县湾岭镇岭门村山心一村组股份经济合作社67.35亩集体油茶基地采摘经营权出租 </w:t>
      </w:r>
    </w:p>
    <w:p w14:paraId="4BB17C0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琼中黎族苗族自治县湾岭镇岭门村山心一村组股份经济合作社</w:t>
      </w:r>
    </w:p>
    <w:p w14:paraId="0E28C6BF">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67.35亩</w:t>
      </w:r>
    </w:p>
    <w:p w14:paraId="0A439A3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465A942D">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sz w:val="28"/>
          <w:szCs w:val="28"/>
          <w:lang w:val="en-US" w:eastAsia="zh-CN"/>
        </w:rPr>
        <w:t>30000元/年</w:t>
      </w:r>
    </w:p>
    <w:p w14:paraId="5DD884E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6000</w:t>
      </w:r>
      <w:r>
        <w:rPr>
          <w:rFonts w:hint="eastAsia" w:asciiTheme="minorEastAsia" w:hAnsiTheme="minorEastAsia" w:cstheme="minorEastAsia"/>
          <w:sz w:val="28"/>
          <w:szCs w:val="28"/>
          <w:lang w:val="en-US" w:eastAsia="zh-CN"/>
        </w:rPr>
        <w:t xml:space="preserve">元 </w:t>
      </w:r>
    </w:p>
    <w:p w14:paraId="3B44E739">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BC644B9">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 xml:space="preserve">6-8-31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16:00</w:t>
      </w:r>
    </w:p>
    <w:p w14:paraId="304781C2">
      <w:pPr>
        <w:numPr>
          <w:ilvl w:val="0"/>
          <w:numId w:val="0"/>
        </w:num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租金三年一付，首年租金须一次性支付前三年租金。</w:t>
      </w:r>
    </w:p>
    <w:p w14:paraId="4B547973">
      <w:pPr>
        <w:numPr>
          <w:ilvl w:val="0"/>
          <w:numId w:val="0"/>
        </w:num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林启清 13976387311</w:t>
      </w:r>
    </w:p>
    <w:p w14:paraId="244E5F4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44A47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AD02CC1">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86230683</w:t>
      </w:r>
      <w:r>
        <w:rPr>
          <w:rFonts w:hint="eastAsia" w:asciiTheme="minorEastAsia" w:hAnsiTheme="minorEastAsia" w:eastAsiaTheme="minorEastAsia" w:cstheme="minorEastAsia"/>
          <w:sz w:val="28"/>
          <w:szCs w:val="28"/>
        </w:rPr>
        <w:t>（报名热线）</w:t>
      </w:r>
    </w:p>
    <w:p w14:paraId="2C77DB6D">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琼中黎族苗族自治县营根镇玉锦大道加鑫广场3栋01号。</w:t>
      </w:r>
    </w:p>
    <w:p w14:paraId="11CBC96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lang w:val="en-US" w:eastAsia="zh-CN"/>
        </w:rPr>
        <w:t>https://qiongzhong.nongjiao.com</w:t>
      </w:r>
      <w:r>
        <w:rPr>
          <w:rFonts w:hint="eastAsia" w:asciiTheme="minorEastAsia" w:hAnsiTheme="minorEastAsia" w:eastAsiaTheme="minorEastAsia" w:cstheme="minorEastAsia"/>
          <w:sz w:val="28"/>
          <w:szCs w:val="28"/>
        </w:rPr>
        <w:t>查看，以网站项目详情页为准。或扫下方二维码关注挂网项目。</w:t>
      </w:r>
    </w:p>
    <w:p w14:paraId="0D364674">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3C47A29D">
      <w:pPr>
        <w:pStyle w:val="5"/>
        <w:jc w:val="right"/>
        <w:rPr>
          <w:b/>
          <w:bCs/>
          <w:sz w:val="28"/>
          <w:szCs w:val="36"/>
        </w:rPr>
      </w:pPr>
      <w:r>
        <w:rPr>
          <w:rFonts w:hint="eastAsia"/>
          <w:b/>
          <w:bCs/>
          <w:sz w:val="28"/>
          <w:szCs w:val="36"/>
        </w:rPr>
        <w:t>已详细阅读此交易公示，对此交易公示内容无异议。</w:t>
      </w:r>
    </w:p>
    <w:p w14:paraId="3E5D70F4">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86EE078">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50A77EB">
      <w:pPr>
        <w:pStyle w:val="7"/>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D597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0316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5F0316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49663E5"/>
    <w:rsid w:val="09275F73"/>
    <w:rsid w:val="09991E4D"/>
    <w:rsid w:val="0A8721A0"/>
    <w:rsid w:val="0B7B2128"/>
    <w:rsid w:val="0B985CD3"/>
    <w:rsid w:val="0E9816ED"/>
    <w:rsid w:val="10396E71"/>
    <w:rsid w:val="10C41E50"/>
    <w:rsid w:val="111F5801"/>
    <w:rsid w:val="11DE52CB"/>
    <w:rsid w:val="1425541A"/>
    <w:rsid w:val="150A3847"/>
    <w:rsid w:val="18E10F33"/>
    <w:rsid w:val="1A0C35CC"/>
    <w:rsid w:val="1E7E35C6"/>
    <w:rsid w:val="2163678E"/>
    <w:rsid w:val="2171056A"/>
    <w:rsid w:val="23C4301C"/>
    <w:rsid w:val="2741574C"/>
    <w:rsid w:val="28C7769D"/>
    <w:rsid w:val="2C765212"/>
    <w:rsid w:val="2F674111"/>
    <w:rsid w:val="30B56AE1"/>
    <w:rsid w:val="315424F2"/>
    <w:rsid w:val="327E6635"/>
    <w:rsid w:val="3516702D"/>
    <w:rsid w:val="356B5D48"/>
    <w:rsid w:val="36AD138D"/>
    <w:rsid w:val="378B28D0"/>
    <w:rsid w:val="37E601A9"/>
    <w:rsid w:val="3A7A2C02"/>
    <w:rsid w:val="3CF434D9"/>
    <w:rsid w:val="3EE84C2D"/>
    <w:rsid w:val="43315BEC"/>
    <w:rsid w:val="43AD1C7C"/>
    <w:rsid w:val="44912C24"/>
    <w:rsid w:val="44FC64D7"/>
    <w:rsid w:val="47C03328"/>
    <w:rsid w:val="4BDA31B7"/>
    <w:rsid w:val="4C122427"/>
    <w:rsid w:val="4D35764C"/>
    <w:rsid w:val="4D440E1C"/>
    <w:rsid w:val="4DC33073"/>
    <w:rsid w:val="4E3F7559"/>
    <w:rsid w:val="4ECE0172"/>
    <w:rsid w:val="51516E47"/>
    <w:rsid w:val="5CF93C67"/>
    <w:rsid w:val="64515E2E"/>
    <w:rsid w:val="64D61FAB"/>
    <w:rsid w:val="685D7846"/>
    <w:rsid w:val="6B8471B8"/>
    <w:rsid w:val="6F086D4B"/>
    <w:rsid w:val="70FC327E"/>
    <w:rsid w:val="75F24B68"/>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20"/>
    <w:autoRedefine/>
    <w:qFormat/>
    <w:uiPriority w:val="0"/>
    <w:pPr>
      <w:tabs>
        <w:tab w:val="center" w:pos="4153"/>
        <w:tab w:val="right" w:pos="8306"/>
      </w:tabs>
      <w:snapToGrid w:val="0"/>
      <w:jc w:val="left"/>
    </w:pPr>
    <w:rPr>
      <w:sz w:val="18"/>
      <w:szCs w:val="18"/>
    </w:rPr>
  </w:style>
  <w:style w:type="paragraph" w:styleId="9">
    <w:name w:val="header"/>
    <w:basedOn w:val="1"/>
    <w:link w:val="19"/>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styleId="14">
    <w:name w:val="Hyperlink"/>
    <w:basedOn w:val="13"/>
    <w:qFormat/>
    <w:uiPriority w:val="0"/>
    <w:rPr>
      <w:color w:val="0000FF"/>
      <w:u w:val="single"/>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4"/>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20">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6863</Words>
  <Characters>7371</Characters>
  <Lines>59</Lines>
  <Paragraphs>16</Paragraphs>
  <TotalTime>4</TotalTime>
  <ScaleCrop>false</ScaleCrop>
  <LinksUpToDate>false</LinksUpToDate>
  <CharactersWithSpaces>7874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琼中产权交易中心</cp:lastModifiedBy>
  <dcterms:modified xsi:type="dcterms:W3CDTF">2026-08-19T02:45:33Z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6060AA4F4EA24202A696E69F74E6C5BC_13</vt:lpwstr>
  </property>
  <property fmtid="{D5CDD505-2E9C-101B-9397-08002B2CF9AE}" pid="4" name="KSOTemplateDocerSaveRecord">
    <vt:lpwstr>eyJoZGlkIjoiMTIwOWMyZmIyYjc5ZjRhZWZlYTZlOGJlMWFiNGU5MDYiLCJ1c2VySWQiOiIxNjg0NzAxOTk1In0=</vt:lpwstr>
  </property>
</Properties>
</file>