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A62520">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rPr>
        <w:t>※权证信息页无需打印，只需用户提供对应身份的材料复印件即可。</w:t>
      </w:r>
    </w:p>
    <w:p w14:paraId="0E456601">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1217F528">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27AA3FF8">
      <w:pPr>
        <w:pStyle w:val="5"/>
        <w:ind w:firstLine="0"/>
        <w:jc w:val="left"/>
        <w:rPr>
          <w:rFonts w:ascii="仿宋_GB2312" w:hAnsi="仿宋_GB2312" w:eastAsia="仿宋_GB2312" w:cs="仿宋_GB2312"/>
          <w:color w:val="000000"/>
          <w:sz w:val="30"/>
          <w:szCs w:val="30"/>
        </w:rPr>
      </w:pPr>
    </w:p>
    <w:p w14:paraId="73871E0C">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57165512">
      <w:pPr>
        <w:pStyle w:val="5"/>
        <w:ind w:firstLine="0"/>
        <w:jc w:val="left"/>
        <w:rPr>
          <w:rFonts w:ascii="仿宋_GB2312" w:hAnsi="仿宋_GB2312" w:eastAsia="仿宋_GB2312" w:cs="仿宋_GB2312"/>
          <w:color w:val="000000"/>
          <w:sz w:val="30"/>
          <w:szCs w:val="30"/>
        </w:rPr>
      </w:pPr>
    </w:p>
    <w:p w14:paraId="59A6CFE4">
      <w:pPr>
        <w:pStyle w:val="5"/>
        <w:jc w:val="left"/>
        <w:rPr>
          <w:rFonts w:ascii="仿宋_GB2312" w:hAnsi="仿宋_GB2312" w:eastAsia="仿宋_GB2312" w:cs="仿宋_GB2312"/>
          <w:color w:val="000000"/>
          <w:sz w:val="30"/>
          <w:szCs w:val="30"/>
        </w:rPr>
      </w:pPr>
    </w:p>
    <w:p w14:paraId="0708A14A">
      <w:pPr>
        <w:pStyle w:val="5"/>
        <w:jc w:val="left"/>
        <w:rPr>
          <w:rFonts w:ascii="仿宋_GB2312" w:hAnsi="仿宋_GB2312" w:eastAsia="仿宋_GB2312" w:cs="仿宋_GB2312"/>
          <w:color w:val="000000"/>
          <w:sz w:val="30"/>
          <w:szCs w:val="30"/>
        </w:rPr>
      </w:pPr>
    </w:p>
    <w:p w14:paraId="6DEC682B">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619AACFC">
      <w:pPr>
        <w:pStyle w:val="5"/>
        <w:ind w:firstLine="0"/>
        <w:jc w:val="left"/>
        <w:rPr>
          <w:rFonts w:ascii="仿宋_GB2312" w:hAnsi="仿宋_GB2312" w:eastAsia="仿宋_GB2312" w:cs="仿宋_GB2312"/>
          <w:color w:val="000000"/>
          <w:sz w:val="30"/>
          <w:szCs w:val="30"/>
        </w:rPr>
      </w:pPr>
    </w:p>
    <w:p w14:paraId="25E17F07">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47A186C8">
      <w:pPr>
        <w:pStyle w:val="5"/>
        <w:jc w:val="left"/>
        <w:rPr>
          <w:rFonts w:ascii="仿宋_GB2312" w:hAnsi="仿宋_GB2312" w:eastAsia="仿宋_GB2312" w:cs="仿宋_GB2312"/>
          <w:color w:val="000000"/>
          <w:sz w:val="30"/>
          <w:szCs w:val="30"/>
        </w:rPr>
      </w:pPr>
    </w:p>
    <w:p w14:paraId="4FD0F364">
      <w:pPr>
        <w:pStyle w:val="5"/>
        <w:jc w:val="left"/>
        <w:rPr>
          <w:rFonts w:ascii="仿宋_GB2312" w:hAnsi="仿宋_GB2312" w:eastAsia="仿宋_GB2312" w:cs="仿宋_GB2312"/>
          <w:color w:val="000000"/>
          <w:sz w:val="30"/>
          <w:szCs w:val="30"/>
        </w:rPr>
      </w:pPr>
    </w:p>
    <w:p w14:paraId="07D32E1C">
      <w:pPr>
        <w:pStyle w:val="5"/>
        <w:jc w:val="left"/>
        <w:rPr>
          <w:rFonts w:ascii="仿宋_GB2312" w:hAnsi="仿宋_GB2312" w:eastAsia="仿宋_GB2312" w:cs="仿宋_GB2312"/>
          <w:color w:val="000000"/>
          <w:sz w:val="30"/>
          <w:szCs w:val="30"/>
        </w:rPr>
      </w:pPr>
    </w:p>
    <w:p w14:paraId="7A353C8F">
      <w:pPr>
        <w:pStyle w:val="5"/>
        <w:jc w:val="left"/>
        <w:rPr>
          <w:rFonts w:ascii="仿宋_GB2312" w:hAnsi="仿宋_GB2312" w:eastAsia="仿宋_GB2312" w:cs="仿宋_GB2312"/>
          <w:color w:val="000000"/>
          <w:sz w:val="30"/>
          <w:szCs w:val="30"/>
        </w:rPr>
      </w:pPr>
    </w:p>
    <w:p w14:paraId="3E5AF220">
      <w:pPr>
        <w:pStyle w:val="5"/>
        <w:jc w:val="left"/>
        <w:rPr>
          <w:rFonts w:ascii="仿宋_GB2312" w:hAnsi="仿宋_GB2312" w:eastAsia="仿宋_GB2312" w:cs="仿宋_GB2312"/>
          <w:color w:val="000000"/>
          <w:sz w:val="30"/>
          <w:szCs w:val="30"/>
        </w:rPr>
      </w:pPr>
    </w:p>
    <w:p w14:paraId="798D9006">
      <w:pPr>
        <w:pStyle w:val="5"/>
        <w:jc w:val="left"/>
        <w:rPr>
          <w:rFonts w:ascii="仿宋_GB2312" w:hAnsi="仿宋_GB2312" w:eastAsia="仿宋_GB2312" w:cs="仿宋_GB2312"/>
          <w:color w:val="000000"/>
          <w:sz w:val="30"/>
          <w:szCs w:val="30"/>
        </w:rPr>
      </w:pPr>
    </w:p>
    <w:p w14:paraId="1C97DA63">
      <w:pPr>
        <w:pStyle w:val="5"/>
        <w:jc w:val="left"/>
        <w:rPr>
          <w:rFonts w:ascii="仿宋_GB2312" w:hAnsi="仿宋_GB2312" w:eastAsia="仿宋_GB2312" w:cs="仿宋_GB2312"/>
          <w:color w:val="000000"/>
          <w:sz w:val="30"/>
          <w:szCs w:val="30"/>
        </w:rPr>
      </w:pPr>
    </w:p>
    <w:p w14:paraId="532A28FB">
      <w:pPr>
        <w:pStyle w:val="5"/>
        <w:jc w:val="left"/>
        <w:rPr>
          <w:rFonts w:ascii="仿宋_GB2312" w:hAnsi="仿宋_GB2312" w:eastAsia="仿宋_GB2312" w:cs="仿宋_GB2312"/>
          <w:color w:val="000000"/>
          <w:sz w:val="30"/>
          <w:szCs w:val="30"/>
        </w:rPr>
      </w:pPr>
    </w:p>
    <w:p w14:paraId="7A91B56D">
      <w:pPr>
        <w:jc w:val="left"/>
        <w:sectPr>
          <w:pgSz w:w="11906" w:h="16838"/>
          <w:pgMar w:top="1440" w:right="1800" w:bottom="1440" w:left="1800" w:header="851" w:footer="992" w:gutter="0"/>
          <w:cols w:space="425" w:num="1"/>
          <w:docGrid w:type="lines" w:linePitch="312" w:charSpace="0"/>
        </w:sectPr>
      </w:pPr>
    </w:p>
    <w:p w14:paraId="1F65A285">
      <w:pPr>
        <w:pStyle w:val="3"/>
        <w:spacing w:line="240" w:lineRule="auto"/>
        <w:rPr>
          <w:rFonts w:ascii="黑体" w:hAnsi="黑体"/>
          <w:color w:val="000000"/>
        </w:rPr>
      </w:pPr>
      <w:bookmarkStart w:id="1" w:name="_Toc21422"/>
      <w:bookmarkStart w:id="2" w:name="_Toc11918"/>
      <w:bookmarkStart w:id="3" w:name="_Toc21762"/>
      <w:bookmarkStart w:id="4" w:name="_Toc15737"/>
      <w:bookmarkStart w:id="5" w:name="_Toc24454"/>
      <w:bookmarkStart w:id="6" w:name="_Toc20910"/>
      <w:bookmarkStart w:id="7" w:name="_Toc32320"/>
      <w:bookmarkStart w:id="8" w:name="_Toc12789"/>
      <w:bookmarkStart w:id="9" w:name="_Toc13462"/>
      <w:bookmarkStart w:id="10" w:name="_Toc7615"/>
      <w:bookmarkStart w:id="11" w:name="_Toc25712"/>
      <w:bookmarkStart w:id="12" w:name="_Toc20033"/>
      <w:bookmarkStart w:id="13" w:name="_Toc24068"/>
      <w:bookmarkStart w:id="14" w:name="_Toc24727"/>
      <w:bookmarkStart w:id="15" w:name="_Toc8396"/>
      <w:bookmarkStart w:id="16" w:name="_Toc29002"/>
      <w:r>
        <w:rPr>
          <w:rFonts w:hint="eastAsia" w:ascii="黑体" w:hAnsi="黑体"/>
          <w:color w:val="000000"/>
        </w:rPr>
        <w:t>网络竞价须知</w:t>
      </w:r>
      <w:bookmarkEnd w:id="1"/>
      <w:bookmarkEnd w:id="2"/>
      <w:bookmarkEnd w:id="3"/>
      <w:bookmarkEnd w:id="4"/>
      <w:bookmarkEnd w:id="5"/>
      <w:bookmarkEnd w:id="6"/>
      <w:bookmarkEnd w:id="7"/>
    </w:p>
    <w:p w14:paraId="29FA3E1D">
      <w:pPr>
        <w:numPr>
          <w:ilvl w:val="0"/>
          <w:numId w:val="1"/>
        </w:numPr>
        <w:spacing w:line="520" w:lineRule="exact"/>
        <w:rPr>
          <w:rFonts w:ascii="新宋体" w:hAnsi="新宋体" w:eastAsia="新宋体"/>
          <w:sz w:val="28"/>
          <w:szCs w:val="28"/>
        </w:rPr>
      </w:pPr>
      <w:r>
        <w:rPr>
          <w:rFonts w:hint="eastAsia" w:ascii="新宋体" w:hAnsi="新宋体" w:eastAsia="新宋体"/>
          <w:b/>
          <w:bCs/>
          <w:color w:val="C00000"/>
          <w:sz w:val="28"/>
          <w:szCs w:val="28"/>
          <w:u w:val="single"/>
          <w:lang w:val="en-US" w:eastAsia="zh-CN"/>
        </w:rPr>
        <w:t xml:space="preserve"> 儋州市和庆农场有限公司南斗龙地块3号树位10.34亩橡胶园地出租 </w:t>
      </w:r>
      <w:r>
        <w:rPr>
          <w:rFonts w:hint="eastAsia" w:ascii="新宋体" w:hAnsi="新宋体" w:eastAsia="新宋体"/>
          <w:b/>
          <w:bCs/>
          <w:sz w:val="28"/>
          <w:szCs w:val="28"/>
        </w:rPr>
        <w:t>项目</w:t>
      </w:r>
      <w:r>
        <w:rPr>
          <w:rFonts w:hint="eastAsia" w:ascii="新宋体" w:hAnsi="新宋体" w:eastAsia="新宋体"/>
          <w:sz w:val="28"/>
          <w:szCs w:val="28"/>
        </w:rPr>
        <w:t>《网络竞价须知》（以下简称《须知》），依据《</w:t>
      </w:r>
      <w:r>
        <w:rPr>
          <w:rFonts w:hint="eastAsia" w:ascii="新宋体" w:hAnsi="新宋体" w:eastAsia="新宋体"/>
          <w:sz w:val="28"/>
          <w:szCs w:val="28"/>
          <w:lang w:val="en-US" w:eastAsia="zh-CN"/>
        </w:rPr>
        <w:t>儋州农村产权交易中心农村</w:t>
      </w:r>
      <w:r>
        <w:rPr>
          <w:rFonts w:hint="eastAsia" w:ascii="新宋体" w:hAnsi="新宋体" w:eastAsia="新宋体"/>
          <w:sz w:val="28"/>
          <w:szCs w:val="28"/>
        </w:rPr>
        <w:t>产权交易规则（试行）》、《</w:t>
      </w:r>
      <w:r>
        <w:rPr>
          <w:rFonts w:hint="eastAsia" w:ascii="新宋体" w:hAnsi="新宋体" w:eastAsia="新宋体"/>
          <w:sz w:val="28"/>
          <w:szCs w:val="28"/>
          <w:lang w:val="en-US" w:eastAsia="zh-CN"/>
        </w:rPr>
        <w:t>儋州</w:t>
      </w:r>
      <w:r>
        <w:rPr>
          <w:rFonts w:hint="eastAsia" w:ascii="新宋体" w:hAnsi="新宋体" w:eastAsia="新宋体"/>
          <w:sz w:val="28"/>
          <w:szCs w:val="28"/>
        </w:rPr>
        <w:t>农村产权交易</w:t>
      </w:r>
      <w:r>
        <w:rPr>
          <w:rFonts w:hint="eastAsia" w:ascii="新宋体" w:hAnsi="新宋体" w:eastAsia="新宋体"/>
          <w:sz w:val="28"/>
          <w:szCs w:val="28"/>
          <w:lang w:val="en-US" w:eastAsia="zh-CN"/>
        </w:rPr>
        <w:t>中心</w:t>
      </w:r>
      <w:r>
        <w:rPr>
          <w:rFonts w:hint="eastAsia" w:ascii="新宋体" w:hAnsi="新宋体" w:eastAsia="新宋体"/>
          <w:sz w:val="28"/>
          <w:szCs w:val="28"/>
        </w:rPr>
        <w:t>网络竞价实施办法（试行）》及有关法律、法规的规定，制定本交易须知。</w:t>
      </w:r>
    </w:p>
    <w:p w14:paraId="4A3BD3A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网络竞价的竞买方必须遵守本交易须知、</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有关交易规则以及有关法律法规。</w:t>
      </w:r>
    </w:p>
    <w:p w14:paraId="62E5492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儋州市</w:t>
      </w:r>
      <w:r>
        <w:rPr>
          <w:rFonts w:hint="eastAsia" w:ascii="新宋体" w:hAnsi="新宋体" w:eastAsia="新宋体" w:cs="Times New Roman"/>
          <w:b/>
          <w:bCs/>
          <w:sz w:val="28"/>
          <w:szCs w:val="28"/>
        </w:rPr>
        <w:t>农村产权交易</w:t>
      </w:r>
      <w:r>
        <w:rPr>
          <w:rFonts w:hint="eastAsia" w:ascii="新宋体" w:hAnsi="新宋体" w:eastAsia="新宋体" w:cs="Times New Roman"/>
          <w:b/>
          <w:bCs/>
          <w:sz w:val="28"/>
          <w:szCs w:val="28"/>
          <w:lang w:val="en-US" w:eastAsia="zh-CN"/>
        </w:rPr>
        <w:t>中心</w:t>
      </w:r>
      <w:r>
        <w:rPr>
          <w:rFonts w:hint="eastAsia" w:ascii="新宋体" w:hAnsi="新宋体" w:eastAsia="新宋体" w:cs="Times New Roman"/>
          <w:b/>
          <w:bCs/>
          <w:sz w:val="28"/>
          <w:szCs w:val="28"/>
        </w:rPr>
        <w:t>（https://danzhou.nongjiao.com/，以下简称“</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”）为指定的交易</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，竞买方应通过</w:t>
      </w:r>
      <w:r>
        <w:rPr>
          <w:rFonts w:hint="eastAsia" w:ascii="新宋体" w:hAnsi="新宋体" w:eastAsia="新宋体" w:cs="Times New Roman"/>
          <w:b/>
          <w:bCs/>
          <w:sz w:val="28"/>
          <w:szCs w:val="28"/>
          <w:lang w:val="en-US" w:eastAsia="zh-CN"/>
        </w:rPr>
        <w:t>农交中心网站</w:t>
      </w:r>
      <w:r>
        <w:rPr>
          <w:rFonts w:hint="eastAsia" w:ascii="新宋体" w:hAnsi="新宋体" w:eastAsia="新宋体" w:cs="Times New Roman"/>
          <w:b/>
          <w:bCs/>
          <w:sz w:val="28"/>
          <w:szCs w:val="28"/>
        </w:rPr>
        <w:t>参与标的竞拍活动。</w:t>
      </w:r>
    </w:p>
    <w:p w14:paraId="3D5D0833">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运营工作人员咨询。</w:t>
      </w:r>
    </w:p>
    <w:p w14:paraId="539C6BB3">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图片、文字描述、附件材料或按照交易公告指定的时间进行现场踏勘了解标的，对标的现状有异议的，应在提交竞买报名前提出书面意见。对竞价成功后的《标的竞得书》及合同的签署均无异议。</w:t>
      </w:r>
    </w:p>
    <w:p w14:paraId="24B87C4A">
      <w:pPr>
        <w:spacing w:line="520" w:lineRule="exact"/>
        <w:ind w:firstLine="560" w:firstLineChars="200"/>
        <w:rPr>
          <w:rFonts w:ascii="新宋体" w:hAnsi="新宋体" w:eastAsia="新宋体" w:cs="Times New Roman"/>
          <w:color w:val="000000" w:themeColor="text1"/>
          <w:sz w:val="28"/>
          <w:szCs w:val="28"/>
          <w14:textFill>
            <w14:solidFill>
              <w14:schemeClr w14:val="tx1"/>
            </w14:solidFill>
          </w14:textFill>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w:t>
      </w:r>
      <w:r>
        <w:rPr>
          <w:rFonts w:hint="eastAsia" w:ascii="新宋体" w:hAnsi="新宋体" w:eastAsia="新宋体" w:cs="Times New Roman"/>
          <w:color w:val="000000" w:themeColor="text1"/>
          <w:sz w:val="28"/>
          <w:szCs w:val="28"/>
          <w14:textFill>
            <w14:solidFill>
              <w14:schemeClr w14:val="tx1"/>
            </w14:solidFill>
          </w14:textFill>
        </w:rPr>
        <w:t>同意遵守</w:t>
      </w:r>
      <w:r>
        <w:rPr>
          <w:rFonts w:hint="eastAsia" w:ascii="新宋体" w:hAnsi="新宋体" w:eastAsia="新宋体" w:cs="Times New Roman"/>
          <w:color w:val="000000" w:themeColor="text1"/>
          <w:sz w:val="28"/>
          <w:szCs w:val="28"/>
          <w:lang w:val="en-US" w:eastAsia="zh-CN"/>
          <w14:textFill>
            <w14:solidFill>
              <w14:schemeClr w14:val="tx1"/>
            </w14:solidFill>
          </w14:textFill>
        </w:rPr>
        <w:t>农交中心网站</w:t>
      </w:r>
      <w:r>
        <w:rPr>
          <w:rFonts w:hint="eastAsia" w:ascii="新宋体" w:hAnsi="新宋体" w:eastAsia="新宋体" w:cs="Times New Roman"/>
          <w:color w:val="000000" w:themeColor="text1"/>
          <w:sz w:val="28"/>
          <w:szCs w:val="28"/>
          <w14:textFill>
            <w14:solidFill>
              <w14:schemeClr w14:val="tx1"/>
            </w14:solidFill>
          </w14:textFill>
        </w:rPr>
        <w:t>有关交易规则和交易须知。</w:t>
      </w:r>
    </w:p>
    <w:p w14:paraId="49FE1E3C">
      <w:pPr>
        <w:numPr>
          <w:ilvl w:val="0"/>
          <w:numId w:val="1"/>
        </w:numPr>
        <w:spacing w:line="520" w:lineRule="exact"/>
        <w:rPr>
          <w:b/>
          <w:bCs/>
          <w:color w:val="000000" w:themeColor="text1"/>
          <w14:textFill>
            <w14:solidFill>
              <w14:schemeClr w14:val="tx1"/>
            </w14:solidFill>
          </w14:textFill>
        </w:rPr>
      </w:pPr>
      <w:r>
        <w:rPr>
          <w:rFonts w:hint="eastAsia" w:ascii="新宋体" w:hAnsi="新宋体" w:eastAsia="新宋体" w:cs="Times New Roman"/>
          <w:b/>
          <w:bCs/>
          <w:color w:val="000000" w:themeColor="text1"/>
          <w:sz w:val="28"/>
          <w:szCs w:val="28"/>
          <w14:textFill>
            <w14:solidFill>
              <w14:schemeClr w14:val="tx1"/>
            </w14:solidFill>
          </w14:textFill>
        </w:rPr>
        <w:t>竞买申请方应当于</w:t>
      </w:r>
      <w:r>
        <w:rPr>
          <w:rFonts w:hint="eastAsia" w:ascii="新宋体" w:hAnsi="新宋体" w:eastAsia="新宋体" w:cs="Times New Roman"/>
          <w:b/>
          <w:bCs/>
          <w:color w:val="C00000"/>
          <w:sz w:val="28"/>
          <w:szCs w:val="28"/>
          <w:u w:val="single"/>
        </w:rPr>
        <w:t>20</w:t>
      </w:r>
      <w:r>
        <w:rPr>
          <w:rFonts w:hint="eastAsia" w:ascii="新宋体" w:hAnsi="新宋体" w:eastAsia="新宋体" w:cs="Times New Roman"/>
          <w:b/>
          <w:bCs/>
          <w:color w:val="C00000"/>
          <w:sz w:val="28"/>
          <w:szCs w:val="28"/>
          <w:u w:val="single"/>
          <w:lang w:val="en-US" w:eastAsia="zh-CN"/>
        </w:rPr>
        <w:t>26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08</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27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color w:val="000000" w:themeColor="text1"/>
          <w:sz w:val="28"/>
          <w:szCs w:val="28"/>
          <w14:textFill>
            <w14:solidFill>
              <w14:schemeClr w14:val="tx1"/>
            </w14:solidFill>
          </w14:textFill>
        </w:rPr>
        <w:t>前签署并向</w:t>
      </w:r>
      <w:r>
        <w:rPr>
          <w:rFonts w:hint="eastAsia" w:ascii="新宋体" w:hAnsi="新宋体" w:eastAsia="新宋体" w:cs="Times New Roman"/>
          <w:b/>
          <w:bCs/>
          <w:color w:val="000000" w:themeColor="text1"/>
          <w:sz w:val="28"/>
          <w:szCs w:val="28"/>
          <w:lang w:val="en-US" w:eastAsia="zh-CN"/>
          <w14:textFill>
            <w14:solidFill>
              <w14:schemeClr w14:val="tx1"/>
            </w14:solidFill>
          </w14:textFill>
        </w:rPr>
        <w:t>农交中心网站</w:t>
      </w:r>
      <w:r>
        <w:rPr>
          <w:rFonts w:hint="eastAsia" w:ascii="新宋体" w:hAnsi="新宋体" w:eastAsia="新宋体" w:cs="Times New Roman"/>
          <w:b/>
          <w:bCs/>
          <w:color w:val="000000" w:themeColor="text1"/>
          <w:sz w:val="28"/>
          <w:szCs w:val="28"/>
          <w14:textFill>
            <w14:solidFill>
              <w14:schemeClr w14:val="tx1"/>
            </w14:solidFill>
          </w14:textFill>
        </w:rPr>
        <w:t>提交本次网络竞价《网络竞价须知》《网络竞价承诺函》等竞价文件后，</w:t>
      </w:r>
      <w:r>
        <w:rPr>
          <w:rFonts w:hint="eastAsia" w:ascii="新宋体" w:hAnsi="新宋体" w:eastAsia="新宋体" w:cs="Times New Roman"/>
          <w:color w:val="000000" w:themeColor="text1"/>
          <w:sz w:val="28"/>
          <w:szCs w:val="28"/>
          <w:lang w:val="en-US" w:eastAsia="zh-CN"/>
          <w14:textFill>
            <w14:solidFill>
              <w14:schemeClr w14:val="tx1"/>
            </w14:solidFill>
          </w14:textFill>
        </w:rPr>
        <w:t>农交中心网站</w:t>
      </w:r>
      <w:r>
        <w:rPr>
          <w:rFonts w:hint="eastAsia" w:ascii="新宋体" w:hAnsi="新宋体" w:eastAsia="新宋体" w:cs="Times New Roman"/>
          <w:color w:val="000000" w:themeColor="text1"/>
          <w:sz w:val="28"/>
          <w:szCs w:val="28"/>
          <w14:textFill>
            <w14:solidFill>
              <w14:schemeClr w14:val="tx1"/>
            </w14:solidFill>
          </w14:textFill>
        </w:rPr>
        <w:t>审</w:t>
      </w:r>
      <w:r>
        <w:rPr>
          <w:rFonts w:hint="eastAsia" w:ascii="新宋体" w:hAnsi="新宋体" w:eastAsia="新宋体" w:cs="Times New Roman"/>
          <w:sz w:val="28"/>
          <w:szCs w:val="28"/>
        </w:rPr>
        <w:t>核通过后，交纳交易保证金（交易保证金金额一般为意向标的物起拍</w:t>
      </w:r>
      <w:r>
        <w:rPr>
          <w:rFonts w:hint="eastAsia" w:ascii="新宋体" w:hAnsi="新宋体" w:eastAsia="新宋体" w:cs="Times New Roman"/>
          <w:color w:val="000000" w:themeColor="text1"/>
          <w:sz w:val="28"/>
          <w:szCs w:val="28"/>
          <w14:textFill>
            <w14:solidFill>
              <w14:schemeClr w14:val="tx1"/>
            </w14:solidFill>
          </w14:textFill>
        </w:rPr>
        <w:t>价20%），</w:t>
      </w:r>
      <w:r>
        <w:rPr>
          <w:rFonts w:hint="eastAsia" w:ascii="新宋体" w:hAnsi="新宋体" w:eastAsia="新宋体" w:cs="Times New Roman"/>
          <w:b/>
          <w:bCs/>
          <w:color w:val="000000" w:themeColor="text1"/>
          <w:sz w:val="28"/>
          <w:szCs w:val="28"/>
          <w14:textFill>
            <w14:solidFill>
              <w14:schemeClr w14:val="tx1"/>
            </w14:solidFill>
          </w14:textFill>
        </w:rPr>
        <w:t>竞买申请方必须用本人的银行账户（单位用户须用本单位公户）通过网银、手机银行、柜台转账等方式把交易保证金款项存入</w:t>
      </w:r>
      <w:r>
        <w:rPr>
          <w:rFonts w:hint="eastAsia" w:ascii="新宋体" w:hAnsi="新宋体" w:eastAsia="新宋体" w:cs="Times New Roman"/>
          <w:b/>
          <w:bCs/>
          <w:color w:val="000000" w:themeColor="text1"/>
          <w:sz w:val="28"/>
          <w:szCs w:val="28"/>
          <w:lang w:val="en-US" w:eastAsia="zh-CN"/>
          <w14:textFill>
            <w14:solidFill>
              <w14:schemeClr w14:val="tx1"/>
            </w14:solidFill>
          </w14:textFill>
        </w:rPr>
        <w:t>农交中心网站</w:t>
      </w:r>
      <w:r>
        <w:rPr>
          <w:rFonts w:hint="eastAsia" w:ascii="新宋体" w:hAnsi="新宋体" w:eastAsia="新宋体" w:cs="Times New Roman"/>
          <w:b/>
          <w:bCs/>
          <w:color w:val="000000" w:themeColor="text1"/>
          <w:sz w:val="28"/>
          <w:szCs w:val="28"/>
          <w14:textFill>
            <w14:solidFill>
              <w14:schemeClr w14:val="tx1"/>
            </w14:solidFill>
          </w14:textFill>
        </w:rPr>
        <w:t>交易保证金结算账户，方取得竞拍资格。</w:t>
      </w:r>
    </w:p>
    <w:p w14:paraId="3534F98A">
      <w:pPr>
        <w:spacing w:line="520" w:lineRule="exact"/>
        <w:rPr>
          <w:rFonts w:ascii="仿宋_GB2312" w:hAnsi="仿宋_GB2312" w:eastAsia="仿宋_GB2312" w:cs="仿宋_GB2312"/>
          <w:color w:val="000000" w:themeColor="text1"/>
          <w:sz w:val="22"/>
          <w:szCs w:val="28"/>
          <w14:textFill>
            <w14:solidFill>
              <w14:schemeClr w14:val="tx1"/>
            </w14:solidFill>
          </w14:textFill>
        </w:rPr>
      </w:pPr>
      <w:r>
        <w:rPr>
          <w:rFonts w:hint="eastAsia" w:ascii="仿宋_GB2312" w:hAnsi="仿宋_GB2312" w:eastAsia="仿宋_GB2312" w:cs="仿宋_GB2312"/>
          <w:b/>
          <w:bCs/>
          <w:color w:val="000000" w:themeColor="text1"/>
          <w:sz w:val="28"/>
          <w:szCs w:val="28"/>
          <w14:textFill>
            <w14:solidFill>
              <w14:schemeClr w14:val="tx1"/>
            </w14:solidFill>
          </w14:textFill>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3E0A6EC5">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F1AF7">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84CB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儋州市农村产权交易中心</w:t>
            </w:r>
            <w:r>
              <w:rPr>
                <w:rFonts w:hint="eastAsia" w:ascii="仿宋_GB2312" w:hAnsi="仿宋_GB2312" w:eastAsia="仿宋_GB2312" w:cs="仿宋_GB2312"/>
                <w:b/>
                <w:bCs/>
                <w:sz w:val="28"/>
                <w:szCs w:val="28"/>
              </w:rPr>
              <w:t>有限公司</w:t>
            </w:r>
          </w:p>
        </w:tc>
      </w:tr>
      <w:tr w14:paraId="7B273E64">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A45552">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9A04D">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海南农村商业银行股份有限公司儋州支行</w:t>
            </w:r>
          </w:p>
        </w:tc>
      </w:tr>
      <w:tr w14:paraId="3AB8F4B3">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FA3C0">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AFB62">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1021592300000323</w:t>
            </w:r>
          </w:p>
        </w:tc>
      </w:tr>
    </w:tbl>
    <w:p w14:paraId="50453F6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账号和提交实名认证材料时，必须按照</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要求提供及时、详尽、准确、真实的单位或个人注册资料，注册后如信息资料有任何变动，必须及时向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提出更新申请，否则由此引起的经济及法律责任均由竞买方自行承担。</w:t>
      </w:r>
    </w:p>
    <w:p w14:paraId="5E312943">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账号安全负责。任何使用竞买方用户名和密码登录的用户，在系统的一切行为均视为该竞买方本人的行为，由竞买方承担一切后果，</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不承担任何责任。通过公共环境参与网络竞价活动的竞买方应注意账号安全，离开终端时应及时退出</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系统。</w:t>
      </w:r>
    </w:p>
    <w:p w14:paraId="1C3C961D">
      <w:pPr>
        <w:spacing w:line="520" w:lineRule="exact"/>
        <w:rPr>
          <w:rFonts w:hint="eastAsia" w:ascii="新宋体" w:hAnsi="新宋体" w:eastAsia="新宋体" w:cs="Times New Roman"/>
          <w:b/>
          <w:bCs/>
          <w:color w:val="000000" w:themeColor="text1"/>
          <w:sz w:val="28"/>
          <w:szCs w:val="28"/>
          <w14:textFill>
            <w14:solidFill>
              <w14:schemeClr w14:val="tx1"/>
            </w14:solidFill>
          </w14:textFill>
        </w:rPr>
      </w:pPr>
      <w:r>
        <w:rPr>
          <w:rFonts w:hint="eastAsia" w:ascii="新宋体" w:hAnsi="新宋体" w:eastAsia="新宋体" w:cs="Times New Roman"/>
          <w:sz w:val="28"/>
          <w:szCs w:val="28"/>
        </w:rPr>
        <w:t>三、竞买方办理竞拍登记手续和交易保证金交纳，经资格确认后，竞买方应于网络竞价活动开始前，登录</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网站</w:t>
      </w:r>
      <w:r>
        <w:rPr>
          <w:rFonts w:hint="eastAsia" w:ascii="新宋体" w:hAnsi="新宋体" w:eastAsia="新宋体" w:cs="Times New Roman"/>
          <w:b/>
          <w:bCs/>
          <w:color w:val="000000" w:themeColor="text1"/>
          <w:sz w:val="28"/>
          <w:szCs w:val="28"/>
          <w14:textFill>
            <w14:solidFill>
              <w14:schemeClr w14:val="tx1"/>
            </w14:solidFill>
          </w14:textFill>
        </w:rPr>
        <w:t>https://danzhou.nongjiao.com/</w:t>
      </w:r>
      <w:r>
        <w:rPr>
          <w:rFonts w:hint="eastAsia" w:ascii="新宋体" w:hAnsi="新宋体" w:eastAsia="新宋体" w:cs="Times New Roman"/>
          <w:color w:val="000000" w:themeColor="text1"/>
          <w:sz w:val="28"/>
          <w:szCs w:val="28"/>
          <w14:textFill>
            <w14:solidFill>
              <w14:schemeClr w14:val="tx1"/>
            </w14:solidFill>
          </w14:textFill>
        </w:rPr>
        <w:t>，即可操作。</w:t>
      </w:r>
    </w:p>
    <w:p w14:paraId="4D91F284">
      <w:pPr>
        <w:spacing w:line="520" w:lineRule="exact"/>
        <w:ind w:firstLine="562" w:firstLineChars="200"/>
        <w:jc w:val="left"/>
        <w:rPr>
          <w:rFonts w:hint="eastAsia" w:ascii="新宋体" w:hAnsi="新宋体" w:eastAsia="新宋体" w:cs="Times New Roman"/>
          <w:b/>
          <w:bCs/>
          <w:color w:val="C00000"/>
          <w:sz w:val="28"/>
          <w:szCs w:val="28"/>
          <w:lang w:val="en-US" w:eastAsia="zh-CN"/>
        </w:rPr>
      </w:pPr>
      <w:r>
        <w:rPr>
          <w:rFonts w:hint="eastAsia" w:ascii="新宋体" w:hAnsi="新宋体" w:eastAsia="新宋体" w:cs="Times New Roman"/>
          <w:b/>
          <w:bCs/>
          <w:color w:val="C00000"/>
          <w:sz w:val="28"/>
          <w:szCs w:val="28"/>
        </w:rPr>
        <w:t>1、本次网络竞价标的起拍价为人民币</w:t>
      </w:r>
      <w:r>
        <w:rPr>
          <w:rFonts w:hint="eastAsia" w:ascii="新宋体" w:hAnsi="新宋体" w:eastAsia="新宋体" w:cs="Times New Roman"/>
          <w:b/>
          <w:bCs/>
          <w:color w:val="C00000"/>
          <w:sz w:val="28"/>
          <w:szCs w:val="28"/>
          <w:lang w:eastAsia="zh-CN"/>
        </w:rPr>
        <w:t>；</w:t>
      </w:r>
      <w:r>
        <w:rPr>
          <w:rFonts w:hint="eastAsia" w:ascii="新宋体" w:hAnsi="新宋体" w:eastAsia="新宋体" w:cs="Times New Roman"/>
          <w:b/>
          <w:bCs/>
          <w:color w:val="C00000"/>
          <w:sz w:val="28"/>
          <w:szCs w:val="28"/>
          <w:u w:val="single"/>
          <w:lang w:val="en-US" w:eastAsia="zh-CN"/>
        </w:rPr>
        <w:t xml:space="preserve"> 2960.86 </w:t>
      </w:r>
      <w:r>
        <w:rPr>
          <w:rFonts w:hint="eastAsia" w:ascii="新宋体" w:hAnsi="新宋体" w:eastAsia="新宋体" w:cs="Times New Roman"/>
          <w:b/>
          <w:bCs/>
          <w:color w:val="C00000"/>
          <w:sz w:val="28"/>
          <w:szCs w:val="28"/>
          <w:lang w:val="en-US" w:eastAsia="zh-CN"/>
        </w:rPr>
        <w:t>元/年</w:t>
      </w:r>
    </w:p>
    <w:p w14:paraId="40784614">
      <w:pPr>
        <w:spacing w:line="520" w:lineRule="exact"/>
        <w:ind w:firstLine="562" w:firstLineChars="200"/>
        <w:jc w:val="left"/>
        <w:rPr>
          <w:rFonts w:hint="eastAsia" w:ascii="新宋体" w:hAnsi="新宋体" w:eastAsia="新宋体" w:cs="Times New Roman"/>
          <w:b/>
          <w:bCs/>
          <w:sz w:val="28"/>
          <w:szCs w:val="28"/>
        </w:rPr>
      </w:pPr>
      <w:r>
        <w:rPr>
          <w:rFonts w:ascii="新宋体" w:hAnsi="新宋体" w:eastAsia="新宋体" w:cs="Times New Roman"/>
          <w:b/>
          <w:bCs/>
          <w:kern w:val="2"/>
          <w:sz w:val="28"/>
          <w:szCs w:val="28"/>
          <w:lang w:val="en-US" w:eastAsia="zh-CN" w:bidi="ar-SA"/>
        </w:rPr>
        <w:t>2、</w:t>
      </w:r>
      <w:r>
        <w:rPr>
          <w:rFonts w:hint="eastAsia" w:ascii="新宋体" w:hAnsi="新宋体" w:eastAsia="新宋体" w:cs="Times New Roman"/>
          <w:b/>
          <w:bCs/>
          <w:sz w:val="28"/>
          <w:szCs w:val="28"/>
        </w:rPr>
        <w:t>本次网络竞价采用竞价方式（</w:t>
      </w:r>
      <w:r>
        <w:rPr>
          <w:rFonts w:hint="eastAsia" w:ascii="宋体" w:hAnsi="Times New Roman"/>
          <w:b/>
          <w:bCs/>
          <w:lang w:eastAsia="zh-CN"/>
        </w:rPr>
        <w:t>☑</w:t>
      </w:r>
      <w:r>
        <w:rPr>
          <w:rFonts w:hint="eastAsia" w:ascii="新宋体" w:hAnsi="新宋体" w:eastAsia="新宋体" w:cs="Times New Roman"/>
          <w:b/>
          <w:bCs/>
          <w:sz w:val="28"/>
          <w:szCs w:val="28"/>
        </w:rPr>
        <w:t>阶梯竞价、</w:t>
      </w:r>
      <w:r>
        <w:rPr>
          <w:rFonts w:hint="eastAsia" w:ascii="宋体" w:hAnsi="Times New Roman"/>
          <w:b/>
          <w:bCs/>
          <w:lang w:eastAsia="zh-CN"/>
        </w:rPr>
        <w:t>□</w:t>
      </w:r>
      <w:r>
        <w:rPr>
          <w:rFonts w:hint="eastAsia" w:ascii="新宋体" w:hAnsi="新宋体" w:eastAsia="新宋体" w:cs="Times New Roman"/>
          <w:b/>
          <w:bCs/>
          <w:sz w:val="28"/>
          <w:szCs w:val="28"/>
        </w:rPr>
        <w:t>自由竞价）。</w:t>
      </w:r>
    </w:p>
    <w:p w14:paraId="671405A5">
      <w:pPr>
        <w:spacing w:line="520" w:lineRule="exact"/>
        <w:ind w:firstLine="562" w:firstLineChars="200"/>
        <w:jc w:val="left"/>
        <w:rPr>
          <w:rFonts w:ascii="新宋体" w:hAnsi="新宋体" w:eastAsia="新宋体" w:cs="Times New Roman"/>
          <w:b/>
          <w:bCs/>
          <w:sz w:val="28"/>
          <w:szCs w:val="28"/>
        </w:rPr>
      </w:pPr>
      <w:r>
        <w:rPr>
          <w:rFonts w:hint="eastAsia" w:ascii="新宋体" w:hAnsi="新宋体" w:eastAsia="新宋体" w:cs="Times New Roman"/>
          <w:b/>
          <w:bCs/>
          <w:sz w:val="28"/>
          <w:szCs w:val="28"/>
        </w:rPr>
        <w:t>3、竞买方接受出租（转让）方确定的交易条件，通过</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的网络竞价系统进行动态递增（减）报价，将报价最高者确定为承租（受让）方的竞价方式（反向竞价以报价最低者确定为承租（受让）方）。</w:t>
      </w:r>
    </w:p>
    <w:p w14:paraId="3C07A97B">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sz w:val="28"/>
          <w:szCs w:val="28"/>
          <w:u w:val="single"/>
        </w:rPr>
        <w:t>100</w:t>
      </w:r>
      <w:r>
        <w:rPr>
          <w:rFonts w:hint="eastAsia" w:ascii="新宋体" w:hAnsi="新宋体" w:eastAsia="新宋体" w:cs="Times New Roman"/>
          <w:sz w:val="28"/>
          <w:szCs w:val="28"/>
        </w:rPr>
        <w:t>元的整数倍（至少100元）。</w:t>
      </w:r>
    </w:p>
    <w:p w14:paraId="11FD3D0E">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74AC55F2">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w:t>
      </w:r>
      <w:r>
        <w:rPr>
          <w:rFonts w:hint="eastAsia" w:ascii="新宋体" w:hAnsi="新宋体" w:eastAsia="新宋体" w:cs="Times New Roman"/>
          <w:b/>
          <w:bCs/>
          <w:color w:val="C00000"/>
          <w:sz w:val="28"/>
          <w:szCs w:val="28"/>
        </w:rPr>
        <w:t>自由竞价期从</w:t>
      </w:r>
      <w:r>
        <w:rPr>
          <w:rFonts w:hint="eastAsia" w:ascii="新宋体" w:hAnsi="新宋体" w:eastAsia="新宋体" w:cs="Times New Roman"/>
          <w:b/>
          <w:bCs/>
          <w:color w:val="C00000"/>
          <w:sz w:val="28"/>
          <w:szCs w:val="28"/>
          <w:u w:val="single"/>
        </w:rPr>
        <w:t>20</w:t>
      </w:r>
      <w:r>
        <w:rPr>
          <w:rFonts w:hint="eastAsia" w:ascii="新宋体" w:hAnsi="新宋体" w:eastAsia="新宋体" w:cs="Times New Roman"/>
          <w:b/>
          <w:bCs/>
          <w:color w:val="C00000"/>
          <w:sz w:val="28"/>
          <w:szCs w:val="28"/>
          <w:u w:val="single"/>
          <w:lang w:val="en-US" w:eastAsia="zh-CN"/>
        </w:rPr>
        <w:t>26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08-28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color w:val="C00000"/>
          <w:sz w:val="28"/>
          <w:szCs w:val="28"/>
        </w:rPr>
        <w:t>准点开始</w:t>
      </w:r>
      <w:r>
        <w:rPr>
          <w:rFonts w:hint="eastAsia" w:ascii="新宋体" w:hAnsi="新宋体" w:eastAsia="新宋体" w:cs="Times New Roman"/>
          <w:b/>
          <w:bCs/>
          <w:sz w:val="28"/>
          <w:szCs w:val="28"/>
        </w:rPr>
        <w:t>（以竞价系统显示时间为准），自由竞价期结束后即进入延时报价期，竞价期可由多个延时竞价周期组成，每个延时竞价周期为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795203B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63CFEDD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记录即视为有效报价，竞买方不可变更或撤销。</w:t>
      </w:r>
    </w:p>
    <w:p w14:paraId="1C51AE35">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0E7209C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，密切观察交易动态，以确定信息公告的标的是否转为网络竞价状态，并参与竞拍。竞买方不得以不知道交易公告的标的转为网络竞价为由提出任何异议。</w:t>
      </w:r>
    </w:p>
    <w:p w14:paraId="35CEC73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6491085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7014A8C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13、因竞买方如下行为产生的一切后果，</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不承担任何责任：</w:t>
      </w:r>
    </w:p>
    <w:p w14:paraId="02B9015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发布的竞价活动相关信息的；</w:t>
      </w:r>
    </w:p>
    <w:p w14:paraId="6D5F364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4797DAA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6DEB4BF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6638B3F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3236C4F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01A7D0B7">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当即与出租（转让）方协商后续方案，并将结果及时通知各竞买方，</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运营单位有权中止（冻结）或重新竞拍标的物竞价活动，待问题解决后依程序再行恢复竞价活动，同时</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不承担任何责任。主要行为包括但不限于以下：</w:t>
      </w:r>
    </w:p>
    <w:p w14:paraId="61F2CE3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01B99B3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7D2AE97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05544A2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785B0DA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服务器、</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运营单位办公区域出现不可抗力因素导致无法正常实施网络交易活动；</w:t>
      </w:r>
    </w:p>
    <w:p w14:paraId="35A60E4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3EC3454F">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运营单位或委托人核实的其他原因；</w:t>
      </w:r>
    </w:p>
    <w:p w14:paraId="43C1DB3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认为需要中止网络竞价活动的其他情形。</w:t>
      </w:r>
    </w:p>
    <w:p w14:paraId="6753CAE4">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应当解除冻结，恢复交易。在信息公告阶段中止（冻结）交易的，解除冻结后，信息公告期限应顺延，顺延时间不少于冻结交易的时间；在网络竞价阶段中止（冻结）或重新竞拍交易的，解除冻结后，系统开始新一轮的竞价。</w:t>
      </w:r>
    </w:p>
    <w:p w14:paraId="20D4A1E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将按照出租（转让）方要求的时间和方式继续竞价或重新竞价，</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通知各竞买方。</w:t>
      </w:r>
    </w:p>
    <w:p w14:paraId="1221CA2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网站服务异常、竞价活动异常的，</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可以根据相关约定重新组织实施竞价或再次发布转让信息公告。</w:t>
      </w:r>
    </w:p>
    <w:p w14:paraId="60DDF249">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运营单位应当终止</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交易活动，待问题解决后依程序重新实施竞拍活动：</w:t>
      </w:r>
    </w:p>
    <w:p w14:paraId="799BC9A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1E141B1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3E0E48A9">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6DA11AD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63FC095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或委托方核实的其他情形。</w:t>
      </w:r>
    </w:p>
    <w:p w14:paraId="3B5CC07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运营单位应当在</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发布相关信息。竞买方可以通过邮件、电话联系等方式或者直接向运营单位咨询，以获得标的中止（冻结）交易和解除冻结的相关信息。</w:t>
      </w:r>
    </w:p>
    <w:p w14:paraId="4EE30B83">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有权中止、取消其竞得资格，并将其列入</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黑名单；造成</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及相关方损失的，由竞买方依法承担赔偿损失等法律责任。</w:t>
      </w:r>
    </w:p>
    <w:p w14:paraId="3AB1B0B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注册登记的要求提供有关文件材料、提供虚假文件或隐瞒事实的；</w:t>
      </w:r>
    </w:p>
    <w:p w14:paraId="5A20972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58D970B3">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1BC19955">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00D6EED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造成损失的；</w:t>
      </w:r>
    </w:p>
    <w:p w14:paraId="2C1D7F1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08999F78">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56966D5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4C0D0BEA">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出具的《标的竞得书》为准。</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在竞价结束的2个工作日内向竞得方出具《标的竞得书》。（注：对于农垦资产出租（转让）只有一个竞买方参与竞拍的，需先由委托单位根据有关规定报海垦集团批准后，</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才能出具《标的竞得书》），竞得人凭《标的竞得书》与委托单位在3个工作日内（或按公告要求的时限）签订交易合同，</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对合同内容按规定进行形式审核，审核通过后解冻竞得人的交易保证金。竞得人需要在交易合同签订的5个工作日内按规定标准缴纳交易服务费。</w:t>
      </w:r>
    </w:p>
    <w:p w14:paraId="7BF33EA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0ECF2250">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2E6BF87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C3E7C9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7F01846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5BE57F5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705C4A7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43FE262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634B271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5CA3EE9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047E63F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60F4324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526F431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71A556C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31958A2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64BF341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7C14629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305714B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6A34D0D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2A64EFC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24C7F548">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572E920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78512F1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4DD7B76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45E5EA3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0B7D8B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0514FA6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5E34E4D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4ADA312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33CCA4A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0D3757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6075713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0222011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D02D62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66B11FB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6B43376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652D13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67AA9E0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4BE0492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7D35C4F5">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30BB5B31">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D58DC4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A71F5CC">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lang w:val="en-US" w:eastAsia="zh-CN"/>
              </w:rPr>
              <w:t>儋州市农村产权交易中心</w:t>
            </w:r>
            <w:r>
              <w:rPr>
                <w:rFonts w:hint="eastAsia" w:asciiTheme="minorEastAsia" w:hAnsiTheme="minorEastAsia" w:cstheme="minorEastAsia"/>
                <w:b/>
                <w:bCs/>
                <w:sz w:val="28"/>
                <w:szCs w:val="28"/>
              </w:rPr>
              <w:t>有限公司</w:t>
            </w:r>
          </w:p>
        </w:tc>
      </w:tr>
      <w:tr w14:paraId="020BF7EF">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BFE58A0">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04B889D2">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lang w:val="en-US" w:eastAsia="zh-CN"/>
              </w:rPr>
              <w:t>海南农村商业银行股份有限公司儋州</w:t>
            </w:r>
            <w:r>
              <w:rPr>
                <w:rFonts w:hint="eastAsia" w:asciiTheme="minorEastAsia" w:hAnsiTheme="minorEastAsia" w:cstheme="minorEastAsia"/>
                <w:b/>
                <w:bCs/>
                <w:sz w:val="28"/>
                <w:szCs w:val="28"/>
              </w:rPr>
              <w:t>支行</w:t>
            </w:r>
          </w:p>
        </w:tc>
      </w:tr>
      <w:tr w14:paraId="63A20346">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53A1DA4">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8412E91">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1021592300000277</w:t>
            </w:r>
          </w:p>
        </w:tc>
      </w:tr>
    </w:tbl>
    <w:p w14:paraId="15796690">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将按《</w:t>
      </w:r>
      <w:r>
        <w:rPr>
          <w:rFonts w:hint="eastAsia" w:ascii="新宋体" w:hAnsi="新宋体" w:eastAsia="新宋体" w:cs="Times New Roman"/>
          <w:sz w:val="28"/>
          <w:szCs w:val="28"/>
          <w:lang w:val="en-US" w:eastAsia="zh-CN"/>
        </w:rPr>
        <w:t>儋州农村产权交易中心</w:t>
      </w:r>
      <w:r>
        <w:rPr>
          <w:rFonts w:hint="eastAsia" w:ascii="新宋体" w:hAnsi="新宋体" w:eastAsia="新宋体" w:cs="Times New Roman"/>
          <w:sz w:val="28"/>
          <w:szCs w:val="28"/>
        </w:rPr>
        <w:t>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2B09588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w:t>
      </w:r>
      <w:r>
        <w:rPr>
          <w:rFonts w:hint="eastAsia" w:ascii="新宋体" w:hAnsi="新宋体" w:eastAsia="新宋体" w:cs="Times New Roman"/>
          <w:b/>
          <w:bCs/>
          <w:sz w:val="28"/>
          <w:szCs w:val="28"/>
          <w:lang w:val="en-US" w:eastAsia="zh-CN"/>
        </w:rPr>
        <w:t>农交中心</w:t>
      </w:r>
      <w:r>
        <w:rPr>
          <w:rFonts w:hint="eastAsia" w:ascii="新宋体" w:hAnsi="新宋体" w:eastAsia="新宋体" w:cs="Times New Roman"/>
          <w:b/>
          <w:bCs/>
          <w:sz w:val="28"/>
          <w:szCs w:val="28"/>
        </w:rPr>
        <w:t>有权扣除交易保证金作为相关方的补偿。</w:t>
      </w:r>
    </w:p>
    <w:p w14:paraId="3121F80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2061466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39BF925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所有，</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有权根据相关法律、法规进行变更和修订。</w:t>
      </w:r>
    </w:p>
    <w:p w14:paraId="21468726">
      <w:pPr>
        <w:pStyle w:val="10"/>
        <w:ind w:left="2250" w:hanging="1200"/>
      </w:pPr>
    </w:p>
    <w:p w14:paraId="33C9B8E1"/>
    <w:p w14:paraId="6C7C613B">
      <w:pPr>
        <w:pStyle w:val="5"/>
      </w:pPr>
    </w:p>
    <w:p w14:paraId="72A4C935">
      <w:pPr>
        <w:spacing w:line="520" w:lineRule="exact"/>
      </w:pPr>
      <w:r>
        <w:rPr>
          <w:rFonts w:hint="eastAsia" w:ascii="Times New Roman" w:hAnsi="Times New Roman"/>
          <w:sz w:val="32"/>
          <w:szCs w:val="32"/>
        </w:rPr>
        <w:t>已详细阅读此竞价须知，对此竞价须知无异议。</w:t>
      </w:r>
    </w:p>
    <w:p w14:paraId="56A9CC21">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038B211E">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421FBEA1">
      <w:pPr>
        <w:pStyle w:val="3"/>
        <w:spacing w:line="240" w:lineRule="auto"/>
        <w:rPr>
          <w:rFonts w:ascii="黑体" w:hAnsi="黑体"/>
          <w:color w:val="000000"/>
        </w:rPr>
      </w:pPr>
    </w:p>
    <w:p w14:paraId="57D4D46E">
      <w:pPr>
        <w:pStyle w:val="3"/>
        <w:spacing w:line="240" w:lineRule="auto"/>
        <w:jc w:val="both"/>
        <w:rPr>
          <w:rFonts w:ascii="黑体" w:hAnsi="黑体"/>
          <w:color w:val="000000"/>
        </w:rPr>
      </w:pPr>
    </w:p>
    <w:p w14:paraId="19221949">
      <w:pPr>
        <w:rPr>
          <w:rFonts w:ascii="黑体" w:hAnsi="黑体"/>
          <w:color w:val="000000"/>
        </w:rPr>
      </w:pPr>
    </w:p>
    <w:p w14:paraId="7B438358">
      <w:pPr>
        <w:pStyle w:val="3"/>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6A3CC010">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20179CF2">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儋州市农村产权交易中心</w:t>
      </w:r>
      <w:r>
        <w:rPr>
          <w:rFonts w:hint="eastAsia" w:ascii="Times New Roman" w:hAnsi="Times New Roman"/>
          <w:sz w:val="28"/>
          <w:szCs w:val="28"/>
        </w:rPr>
        <w:t>：</w:t>
      </w:r>
    </w:p>
    <w:p w14:paraId="62A3B18A">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 xml:space="preserve"> 儋州市和庆农场有限公司南斗龙地块3号树位10.34亩橡胶园地出租 </w:t>
      </w:r>
      <w:r>
        <w:rPr>
          <w:rFonts w:ascii="Times New Roman" w:hAnsi="Times New Roman"/>
          <w:sz w:val="28"/>
          <w:szCs w:val="28"/>
        </w:rPr>
        <w:t>”</w:t>
      </w:r>
      <w:r>
        <w:rPr>
          <w:rFonts w:hint="eastAsia" w:ascii="Times New Roman" w:hAnsi="Times New Roman"/>
          <w:sz w:val="28"/>
          <w:szCs w:val="28"/>
        </w:rPr>
        <w:t>项目网络竞价活动作出如下承诺：</w:t>
      </w:r>
    </w:p>
    <w:p w14:paraId="2E2CAB2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 xml:space="preserve"> 儋州市和庆农场有限公司南斗龙地块3号树位10.34亩橡胶园地出租 </w:t>
      </w:r>
      <w:r>
        <w:rPr>
          <w:rFonts w:ascii="Times New Roman" w:hAnsi="Times New Roman"/>
          <w:sz w:val="28"/>
          <w:szCs w:val="28"/>
        </w:rPr>
        <w:t>”</w:t>
      </w:r>
      <w:r>
        <w:rPr>
          <w:rFonts w:hint="eastAsia" w:ascii="Times New Roman" w:hAnsi="Times New Roman"/>
          <w:sz w:val="28"/>
          <w:szCs w:val="28"/>
        </w:rPr>
        <w:t>项目网络竞价活动，并参与报价。</w:t>
      </w:r>
    </w:p>
    <w:p w14:paraId="46D6146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 xml:space="preserve"> 儋州市和庆农场有限公司南斗龙地块3号树位10.34亩橡胶园地出租 </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儋州</w:t>
      </w:r>
      <w:r>
        <w:rPr>
          <w:rFonts w:hint="eastAsia" w:ascii="新宋体" w:hAnsi="新宋体" w:eastAsia="新宋体"/>
          <w:sz w:val="28"/>
          <w:szCs w:val="28"/>
        </w:rPr>
        <w:t>农村产权交易中心网络竞价实施办法（试行）》《</w:t>
      </w:r>
      <w:r>
        <w:rPr>
          <w:rFonts w:hint="eastAsia" w:ascii="Times New Roman" w:hAnsi="Times New Roman"/>
          <w:sz w:val="28"/>
          <w:szCs w:val="28"/>
        </w:rPr>
        <w:t>网络竞价须知》已充分了解，并自愿遵守文件中的相关规定。</w:t>
      </w:r>
    </w:p>
    <w:p w14:paraId="3E9688C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lang w:val="en-US" w:eastAsia="zh-CN"/>
        </w:rPr>
        <w:t>儋州市</w:t>
      </w:r>
      <w:r>
        <w:rPr>
          <w:rFonts w:hint="eastAsia" w:ascii="新宋体" w:hAnsi="新宋体" w:eastAsia="新宋体" w:cs="Times New Roman"/>
          <w:sz w:val="28"/>
          <w:szCs w:val="28"/>
        </w:rPr>
        <w:t>农村产权交易</w:t>
      </w:r>
      <w:r>
        <w:rPr>
          <w:rFonts w:hint="eastAsia" w:ascii="新宋体" w:hAnsi="新宋体" w:eastAsia="新宋体" w:cs="Times New Roman"/>
          <w:sz w:val="28"/>
          <w:szCs w:val="28"/>
          <w:lang w:val="en-US" w:eastAsia="zh-CN"/>
        </w:rPr>
        <w:t>中心</w:t>
      </w:r>
      <w:r>
        <w:rPr>
          <w:rFonts w:hint="eastAsia" w:ascii="新宋体" w:hAnsi="新宋体" w:eastAsia="新宋体" w:cs="Times New Roman"/>
          <w:sz w:val="28"/>
          <w:szCs w:val="28"/>
        </w:rPr>
        <w:t>（https://danzhou.nongjiao.com/，以下简称“</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w:t>
      </w:r>
      <w:r>
        <w:rPr>
          <w:rFonts w:hint="eastAsia" w:ascii="Times New Roman" w:hAnsi="Times New Roman"/>
          <w:sz w:val="28"/>
          <w:szCs w:val="28"/>
        </w:rPr>
        <w:t>无关。</w:t>
      </w:r>
    </w:p>
    <w:p w14:paraId="07B896F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w:t>
      </w:r>
      <w:r>
        <w:rPr>
          <w:rFonts w:hint="eastAsia" w:ascii="Times New Roman" w:hAnsi="Times New Roman"/>
          <w:sz w:val="28"/>
          <w:szCs w:val="28"/>
          <w:lang w:val="en-US" w:eastAsia="zh-CN"/>
        </w:rPr>
        <w:t>农交中心</w:t>
      </w:r>
      <w:r>
        <w:rPr>
          <w:rFonts w:hint="eastAsia" w:ascii="Times New Roman" w:hAnsi="Times New Roman"/>
          <w:sz w:val="28"/>
          <w:szCs w:val="28"/>
        </w:rPr>
        <w:t>有权根据《网络竞价须知》的规定扣除保证金。</w:t>
      </w:r>
    </w:p>
    <w:p w14:paraId="04BE3C1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儋州市</w:t>
      </w:r>
      <w:r>
        <w:rPr>
          <w:rFonts w:hint="eastAsia" w:ascii="Times New Roman" w:hAnsi="Times New Roman"/>
          <w:sz w:val="28"/>
          <w:szCs w:val="28"/>
        </w:rPr>
        <w:t>农村产权交易</w:t>
      </w:r>
      <w:r>
        <w:rPr>
          <w:rFonts w:hint="eastAsia" w:ascii="Times New Roman" w:hAnsi="Times New Roman"/>
          <w:sz w:val="28"/>
          <w:szCs w:val="28"/>
          <w:lang w:val="en-US" w:eastAsia="zh-CN"/>
        </w:rPr>
        <w:t>中心</w:t>
      </w:r>
      <w:r>
        <w:rPr>
          <w:rFonts w:hint="eastAsia" w:ascii="Times New Roman" w:hAnsi="Times New Roman"/>
          <w:sz w:val="28"/>
          <w:szCs w:val="28"/>
        </w:rPr>
        <w:t>书面通知要求与出租（转让）方签署交易合同，并按《产权交易结算通知书》的约定支付交易价款。</w:t>
      </w:r>
    </w:p>
    <w:p w14:paraId="62D08C5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1EC82C3B">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52DA107B">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3D82EDB2">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351B3403">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44156CC2">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50806EF6">
      <w:pPr>
        <w:rPr>
          <w:rFonts w:ascii="仿宋_GB2312" w:hAnsi="仿宋_GB2312" w:eastAsia="仿宋_GB2312" w:cs="仿宋_GB2312"/>
          <w:color w:val="000000"/>
          <w:sz w:val="36"/>
          <w:szCs w:val="30"/>
        </w:rPr>
      </w:pPr>
    </w:p>
    <w:p w14:paraId="6CD48FAB">
      <w:pPr>
        <w:rPr>
          <w:rFonts w:ascii="仿宋_GB2312" w:hAnsi="仿宋_GB2312" w:eastAsia="仿宋_GB2312" w:cs="仿宋_GB2312"/>
          <w:color w:val="000000"/>
          <w:sz w:val="30"/>
          <w:szCs w:val="30"/>
        </w:rPr>
      </w:pPr>
    </w:p>
    <w:p w14:paraId="47C7A97B">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30BFA650">
      <w:pPr>
        <w:rPr>
          <w:rFonts w:ascii="仿宋_GB2312" w:hAnsi="仿宋_GB2312" w:eastAsia="仿宋_GB2312" w:cs="仿宋_GB2312"/>
          <w:b/>
          <w:color w:val="000000"/>
          <w:sz w:val="30"/>
          <w:szCs w:val="30"/>
        </w:rPr>
      </w:pPr>
    </w:p>
    <w:p w14:paraId="59B47716">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3DF871C3">
      <w:pPr>
        <w:rPr>
          <w:rFonts w:ascii="仿宋_GB2312" w:hAnsi="仿宋_GB2312" w:eastAsia="仿宋_GB2312" w:cs="仿宋_GB2312"/>
          <w:b/>
          <w:color w:val="000000"/>
          <w:sz w:val="30"/>
          <w:szCs w:val="30"/>
          <w:u w:val="single"/>
        </w:rPr>
      </w:pPr>
    </w:p>
    <w:p w14:paraId="15486C15">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23EF2A1A">
                            <w:pPr>
                              <w:jc w:val="center"/>
                              <w:rPr>
                                <w:b/>
                                <w:sz w:val="42"/>
                              </w:rPr>
                            </w:pPr>
                          </w:p>
                          <w:p w14:paraId="7D438B5F">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0C0ACA72">
                            <w:pPr>
                              <w:rPr>
                                <w:rFonts w:ascii="仿宋_GB2312" w:hAnsi="仿宋_GB2312" w:eastAsia="仿宋_GB2312" w:cs="仿宋_GB2312"/>
                                <w:sz w:val="24"/>
                              </w:rPr>
                            </w:pPr>
                          </w:p>
                          <w:p w14:paraId="2AE87222">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儋州农村产权交易中心农村</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7FBACF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4074F908">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7FC27967">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23EF2A1A">
                      <w:pPr>
                        <w:jc w:val="center"/>
                        <w:rPr>
                          <w:b/>
                          <w:sz w:val="42"/>
                        </w:rPr>
                      </w:pPr>
                    </w:p>
                    <w:p w14:paraId="7D438B5F">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0C0ACA72">
                      <w:pPr>
                        <w:rPr>
                          <w:rFonts w:ascii="仿宋_GB2312" w:hAnsi="仿宋_GB2312" w:eastAsia="仿宋_GB2312" w:cs="仿宋_GB2312"/>
                          <w:sz w:val="24"/>
                        </w:rPr>
                      </w:pPr>
                    </w:p>
                    <w:p w14:paraId="2AE87222">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儋州农村产权交易中心农村</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7FBACF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4074F908">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7FC27967">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7E294B2C">
      <w:pPr>
        <w:rPr>
          <w:rFonts w:ascii="仿宋_GB2312" w:hAnsi="仿宋_GB2312" w:eastAsia="仿宋_GB2312" w:cs="仿宋_GB2312"/>
          <w:color w:val="000000"/>
          <w:sz w:val="30"/>
          <w:szCs w:val="30"/>
        </w:rPr>
      </w:pPr>
    </w:p>
    <w:p w14:paraId="2853C87D">
      <w:pPr>
        <w:rPr>
          <w:rFonts w:ascii="仿宋_GB2312" w:hAnsi="仿宋_GB2312" w:eastAsia="仿宋_GB2312" w:cs="仿宋_GB2312"/>
          <w:color w:val="000000"/>
          <w:sz w:val="30"/>
          <w:szCs w:val="30"/>
        </w:rPr>
      </w:pPr>
    </w:p>
    <w:p w14:paraId="330CD3B6">
      <w:pPr>
        <w:rPr>
          <w:rFonts w:ascii="仿宋_GB2312" w:hAnsi="仿宋_GB2312" w:eastAsia="仿宋_GB2312" w:cs="仿宋_GB2312"/>
          <w:color w:val="000000"/>
          <w:sz w:val="30"/>
          <w:szCs w:val="30"/>
        </w:rPr>
      </w:pPr>
    </w:p>
    <w:p w14:paraId="3497BAFC">
      <w:pPr>
        <w:rPr>
          <w:rFonts w:ascii="仿宋_GB2312" w:hAnsi="仿宋_GB2312" w:eastAsia="仿宋_GB2312" w:cs="仿宋_GB2312"/>
          <w:color w:val="000000"/>
          <w:sz w:val="30"/>
          <w:szCs w:val="30"/>
        </w:rPr>
      </w:pPr>
    </w:p>
    <w:p w14:paraId="2160064E">
      <w:pPr>
        <w:rPr>
          <w:rFonts w:ascii="仿宋_GB2312" w:hAnsi="仿宋_GB2312" w:eastAsia="仿宋_GB2312" w:cs="仿宋_GB2312"/>
          <w:color w:val="000000"/>
          <w:sz w:val="30"/>
          <w:szCs w:val="30"/>
        </w:rPr>
      </w:pPr>
    </w:p>
    <w:p w14:paraId="6F95BC31">
      <w:pPr>
        <w:rPr>
          <w:rFonts w:ascii="仿宋_GB2312" w:hAnsi="仿宋_GB2312" w:eastAsia="仿宋_GB2312" w:cs="仿宋_GB2312"/>
          <w:color w:val="000000"/>
          <w:sz w:val="30"/>
          <w:szCs w:val="30"/>
        </w:rPr>
      </w:pPr>
    </w:p>
    <w:p w14:paraId="3A8DCBD3">
      <w:pPr>
        <w:rPr>
          <w:rFonts w:ascii="仿宋_GB2312" w:hAnsi="仿宋_GB2312" w:eastAsia="仿宋_GB2312" w:cs="仿宋_GB2312"/>
          <w:color w:val="000000"/>
          <w:sz w:val="30"/>
          <w:szCs w:val="30"/>
        </w:rPr>
      </w:pPr>
    </w:p>
    <w:p w14:paraId="588C2ACE">
      <w:pPr>
        <w:pStyle w:val="5"/>
      </w:pPr>
    </w:p>
    <w:p w14:paraId="019F1D61">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儋州市农村产权交易中心</w:t>
      </w:r>
      <w:r>
        <w:rPr>
          <w:rFonts w:hint="eastAsia" w:ascii="仿宋_GB2312" w:hAnsi="仿宋_GB2312" w:eastAsia="仿宋_GB2312" w:cs="仿宋_GB2312"/>
          <w:b/>
          <w:color w:val="000000"/>
          <w:sz w:val="36"/>
          <w:szCs w:val="30"/>
        </w:rPr>
        <w:t>制</w:t>
      </w:r>
    </w:p>
    <w:p w14:paraId="0F97705F">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w:t>
      </w:r>
      <w:r>
        <w:rPr>
          <w:rFonts w:hint="eastAsia" w:ascii="仿宋_GB2312" w:hAnsi="仿宋_GB2312" w:eastAsia="仿宋_GB2312" w:cs="仿宋_GB2312"/>
          <w:b/>
          <w:color w:val="000000"/>
          <w:sz w:val="36"/>
          <w:szCs w:val="30"/>
          <w:lang w:val="en-US" w:eastAsia="zh-CN"/>
        </w:rPr>
        <w:t>26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8</w:t>
      </w:r>
      <w:r>
        <w:rPr>
          <w:rFonts w:hint="eastAsia" w:ascii="仿宋_GB2312" w:hAnsi="仿宋_GB2312" w:eastAsia="仿宋_GB2312" w:cs="仿宋_GB2312"/>
          <w:b/>
          <w:color w:val="000000"/>
          <w:sz w:val="36"/>
          <w:szCs w:val="30"/>
        </w:rPr>
        <w:t>月</w:t>
      </w:r>
    </w:p>
    <w:p w14:paraId="0FB0D0FB">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0ED2E5E1">
      <w:pPr>
        <w:pStyle w:val="3"/>
        <w:spacing w:line="400" w:lineRule="exact"/>
        <w:rPr>
          <w:rFonts w:ascii="仿宋" w:hAnsi="仿宋"/>
          <w:bCs/>
          <w:szCs w:val="36"/>
        </w:rPr>
      </w:pPr>
      <w:r>
        <w:rPr>
          <w:rFonts w:hint="eastAsia"/>
          <w:bCs/>
          <w:szCs w:val="36"/>
        </w:rPr>
        <w:t>意向承租（受让）函</w:t>
      </w:r>
    </w:p>
    <w:p w14:paraId="12F4B2E9">
      <w:pPr>
        <w:rPr>
          <w:rFonts w:ascii="Times New Roman" w:hAnsi="Times New Roman" w:eastAsia="黑体"/>
          <w:bCs/>
          <w:sz w:val="24"/>
        </w:rPr>
      </w:pPr>
      <w:r>
        <w:rPr>
          <w:rFonts w:hint="eastAsia" w:ascii="Times New Roman" w:hAnsi="Times New Roman" w:eastAsia="黑体"/>
          <w:sz w:val="24"/>
          <w:lang w:val="en-US" w:eastAsia="zh-CN"/>
        </w:rPr>
        <w:t>儋州市农村产权交易中心</w:t>
      </w:r>
      <w:r>
        <w:rPr>
          <w:rFonts w:hint="eastAsia" w:ascii="Times New Roman" w:hAnsi="Times New Roman" w:eastAsia="黑体"/>
          <w:sz w:val="24"/>
        </w:rPr>
        <w:t>：</w:t>
      </w:r>
    </w:p>
    <w:p w14:paraId="6D5D173C">
      <w:pPr>
        <w:spacing w:line="440" w:lineRule="exact"/>
        <w:ind w:firstLine="480" w:firstLineChars="200"/>
        <w:rPr>
          <w:sz w:val="24"/>
        </w:rPr>
      </w:pP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val="en-US" w:eastAsia="zh-CN"/>
        </w:rPr>
        <w:t>儋州市</w:t>
      </w:r>
      <w:r>
        <w:rPr>
          <w:rFonts w:hint="eastAsia" w:ascii="Times New Roman" w:hAnsi="Times New Roman"/>
          <w:bCs/>
          <w:sz w:val="24"/>
        </w:rPr>
        <w:t>农村产权交易</w:t>
      </w:r>
      <w:r>
        <w:rPr>
          <w:rFonts w:hint="eastAsia" w:ascii="Times New Roman" w:hAnsi="Times New Roman"/>
          <w:bCs/>
          <w:sz w:val="24"/>
          <w:lang w:val="en-US" w:eastAsia="zh-CN"/>
        </w:rPr>
        <w:t>中心</w:t>
      </w:r>
      <w:r>
        <w:rPr>
          <w:rFonts w:hint="eastAsia" w:ascii="Times New Roman" w:hAnsi="Times New Roman"/>
          <w:bCs/>
          <w:sz w:val="24"/>
        </w:rPr>
        <w:t>（https://danzhou.nongjiao.com/，以下简称“</w:t>
      </w:r>
      <w:r>
        <w:rPr>
          <w:rFonts w:hint="eastAsia" w:ascii="Times New Roman" w:hAnsi="Times New Roman"/>
          <w:bCs/>
          <w:sz w:val="24"/>
          <w:lang w:val="en-US" w:eastAsia="zh-CN"/>
        </w:rPr>
        <w:t>农交中心</w:t>
      </w:r>
      <w:r>
        <w:rPr>
          <w:rFonts w:hint="eastAsia" w:ascii="Times New Roman" w:hAnsi="Times New Roman"/>
          <w:bCs/>
          <w:sz w:val="24"/>
        </w:rPr>
        <w:t>”）申请承租（受让）</w:t>
      </w:r>
      <w:r>
        <w:rPr>
          <w:rFonts w:hint="eastAsia" w:ascii="新宋体" w:hAnsi="新宋体" w:eastAsia="新宋体"/>
          <w:b/>
          <w:bCs/>
          <w:color w:val="C00000"/>
          <w:sz w:val="28"/>
          <w:szCs w:val="28"/>
          <w:u w:val="single"/>
          <w:lang w:val="en-US" w:eastAsia="zh-CN"/>
        </w:rPr>
        <w:t xml:space="preserve"> 儋州市和庆农场有限公司南斗龙地块3号树位10.34亩橡胶园地出租 </w:t>
      </w:r>
      <w:r>
        <w:rPr>
          <w:rFonts w:hint="eastAsia" w:ascii="Times New Roman" w:hAnsi="Times New Roman"/>
          <w:bCs/>
          <w:sz w:val="24"/>
        </w:rPr>
        <w:t>，并承诺：</w:t>
      </w:r>
    </w:p>
    <w:p w14:paraId="6BB9F496">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2D694B3B">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15D6C697">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39BED71D">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w:t>
      </w:r>
      <w:r>
        <w:rPr>
          <w:rFonts w:hint="eastAsia" w:ascii="Times New Roman" w:hAnsi="Times New Roman"/>
          <w:b/>
          <w:sz w:val="24"/>
          <w:lang w:val="en-US" w:eastAsia="zh-CN"/>
        </w:rPr>
        <w:t>农交中心</w:t>
      </w:r>
      <w:r>
        <w:rPr>
          <w:rFonts w:hint="eastAsia" w:ascii="Times New Roman" w:hAnsi="Times New Roman"/>
          <w:b/>
          <w:sz w:val="24"/>
        </w:rPr>
        <w:t>的交易规则，并充分理解和认可，同意按照贵</w:t>
      </w:r>
      <w:r>
        <w:rPr>
          <w:rFonts w:hint="eastAsia" w:ascii="Times New Roman" w:hAnsi="Times New Roman"/>
          <w:b/>
          <w:sz w:val="24"/>
          <w:lang w:val="en-US" w:eastAsia="zh-CN"/>
        </w:rPr>
        <w:t>农交中心</w:t>
      </w:r>
      <w:r>
        <w:rPr>
          <w:rFonts w:hint="eastAsia" w:ascii="Times New Roman" w:hAnsi="Times New Roman"/>
          <w:b/>
          <w:sz w:val="24"/>
        </w:rPr>
        <w:t>《</w:t>
      </w:r>
      <w:r>
        <w:rPr>
          <w:rFonts w:hint="eastAsia" w:ascii="Times New Roman" w:hAnsi="Times New Roman"/>
          <w:b/>
          <w:sz w:val="24"/>
          <w:lang w:val="en-US" w:eastAsia="zh-CN"/>
        </w:rPr>
        <w:t>儋州农村产权交易中心农村</w:t>
      </w:r>
      <w:r>
        <w:rPr>
          <w:rFonts w:hint="eastAsia" w:ascii="Times New Roman" w:hAnsi="Times New Roman"/>
          <w:b/>
          <w:sz w:val="24"/>
        </w:rPr>
        <w:t>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4D5ABA82">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w:t>
      </w:r>
      <w:r>
        <w:rPr>
          <w:rFonts w:hint="eastAsia" w:ascii="Times New Roman" w:hAnsi="Times New Roman"/>
          <w:b/>
          <w:sz w:val="24"/>
          <w:lang w:val="en-US" w:eastAsia="zh-CN"/>
        </w:rPr>
        <w:t>农交中心</w:t>
      </w:r>
      <w:r>
        <w:rPr>
          <w:rFonts w:hint="eastAsia" w:ascii="Times New Roman" w:hAnsi="Times New Roman"/>
          <w:b/>
          <w:sz w:val="24"/>
        </w:rPr>
        <w:t>的收费项目及标准，同意按规定交纳相关费用。</w:t>
      </w:r>
    </w:p>
    <w:p w14:paraId="68EC0726">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04AE1111">
      <w:pPr>
        <w:spacing w:line="440" w:lineRule="exact"/>
        <w:ind w:firstLine="482" w:firstLineChars="200"/>
        <w:rPr>
          <w:rFonts w:ascii="Times New Roman" w:hAnsi="Times New Roman"/>
          <w:b/>
          <w:sz w:val="24"/>
        </w:rPr>
      </w:pPr>
      <w:bookmarkStart w:id="17" w:name="_Toc11532"/>
      <w:bookmarkStart w:id="18" w:name="_Toc13357"/>
      <w:bookmarkStart w:id="19" w:name="_Toc28981"/>
      <w:r>
        <w:rPr>
          <w:rFonts w:ascii="Times New Roman" w:hAnsi="Times New Roman"/>
          <w:b/>
          <w:sz w:val="24"/>
        </w:rPr>
        <w:t>7</w:t>
      </w:r>
      <w:r>
        <w:rPr>
          <w:rFonts w:hint="eastAsia" w:ascii="Times New Roman" w:hAnsi="Times New Roman"/>
          <w:b/>
          <w:sz w:val="24"/>
        </w:rPr>
        <w:t>、我方承诺不通过其他渠道进行本项目交易。</w:t>
      </w:r>
      <w:bookmarkEnd w:id="17"/>
      <w:bookmarkEnd w:id="18"/>
      <w:bookmarkEnd w:id="19"/>
    </w:p>
    <w:p w14:paraId="33446924">
      <w:pPr>
        <w:pStyle w:val="5"/>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582FBB15">
      <w:pPr>
        <w:spacing w:line="440" w:lineRule="exact"/>
        <w:ind w:firstLine="482" w:firstLineChars="200"/>
        <w:rPr>
          <w:rFonts w:ascii="Times New Roman" w:hAnsi="Times New Roman"/>
          <w:b/>
          <w:sz w:val="24"/>
        </w:rPr>
      </w:pPr>
      <w:r>
        <w:rPr>
          <w:rFonts w:hint="eastAsia" w:ascii="Times New Roman" w:hAnsi="Times New Roman"/>
          <w:b/>
          <w:sz w:val="24"/>
        </w:rPr>
        <w:t>9、我方承诺按</w:t>
      </w:r>
      <w:r>
        <w:rPr>
          <w:rFonts w:hint="eastAsia" w:ascii="Times New Roman" w:hAnsi="Times New Roman"/>
          <w:b/>
          <w:sz w:val="24"/>
          <w:lang w:val="en-US" w:eastAsia="zh-CN"/>
        </w:rPr>
        <w:t>农交中心</w:t>
      </w:r>
      <w:r>
        <w:rPr>
          <w:rFonts w:hint="eastAsia" w:ascii="Times New Roman" w:hAnsi="Times New Roman"/>
          <w:b/>
          <w:sz w:val="24"/>
        </w:rPr>
        <w:t>规定交纳交易保证金，若我方无故放弃本项目或因我方自身原因放弃本项目的，视为违约，我方交纳的交易保证金将不予退还，作为违约金扣除。</w:t>
      </w:r>
    </w:p>
    <w:p w14:paraId="51B329C9">
      <w:pPr>
        <w:pStyle w:val="5"/>
        <w:spacing w:line="440" w:lineRule="exact"/>
        <w:rPr>
          <w:rFonts w:ascii="Times New Roman" w:hAnsi="Times New Roman"/>
          <w:bCs/>
          <w:sz w:val="28"/>
          <w:szCs w:val="24"/>
        </w:rPr>
      </w:pPr>
      <w:bookmarkStart w:id="20" w:name="_Toc24611"/>
      <w:bookmarkStart w:id="21" w:name="_Toc7009"/>
      <w:bookmarkStart w:id="22" w:name="_Toc31003"/>
      <w:r>
        <w:rPr>
          <w:rFonts w:hint="eastAsia" w:ascii="Times New Roman" w:hAnsi="Times New Roman"/>
          <w:b/>
          <w:sz w:val="24"/>
          <w:szCs w:val="24"/>
        </w:rPr>
        <w:t>10、最终解释权归</w:t>
      </w:r>
      <w:r>
        <w:rPr>
          <w:rFonts w:hint="eastAsia" w:ascii="Times New Roman" w:hAnsi="Times New Roman"/>
          <w:b/>
          <w:sz w:val="24"/>
          <w:szCs w:val="24"/>
          <w:lang w:val="en-US" w:eastAsia="zh-CN"/>
        </w:rPr>
        <w:t>儋州市农村产权交易中心</w:t>
      </w:r>
      <w:r>
        <w:rPr>
          <w:rFonts w:hint="eastAsia" w:ascii="Times New Roman" w:hAnsi="Times New Roman"/>
          <w:b/>
          <w:sz w:val="24"/>
          <w:szCs w:val="24"/>
        </w:rPr>
        <w:t>。</w:t>
      </w:r>
      <w:bookmarkEnd w:id="20"/>
      <w:bookmarkEnd w:id="21"/>
      <w:bookmarkEnd w:id="22"/>
    </w:p>
    <w:p w14:paraId="0AC8776B">
      <w:pPr>
        <w:spacing w:line="312" w:lineRule="auto"/>
        <w:ind w:firstLine="3840" w:firstLineChars="1600"/>
        <w:rPr>
          <w:rFonts w:ascii="宋体" w:hAnsi="宋体" w:eastAsia="宋体" w:cs="宋体"/>
          <w:sz w:val="24"/>
        </w:rPr>
      </w:pPr>
    </w:p>
    <w:p w14:paraId="45AB8489">
      <w:pPr>
        <w:spacing w:line="296" w:lineRule="auto"/>
        <w:ind w:firstLine="3840" w:firstLineChars="1600"/>
        <w:rPr>
          <w:rFonts w:ascii="宋体" w:hAnsi="宋体" w:eastAsia="宋体" w:cs="宋体"/>
          <w:sz w:val="24"/>
          <w:u w:val="single"/>
        </w:rPr>
      </w:pPr>
      <w:bookmarkStart w:id="23" w:name="_Toc29057"/>
      <w:bookmarkStart w:id="24" w:name="_Toc30986"/>
      <w:bookmarkStart w:id="25" w:name="_Toc4535"/>
      <w:r>
        <w:rPr>
          <w:rFonts w:hint="eastAsia" w:ascii="宋体" w:hAnsi="宋体" w:eastAsia="宋体" w:cs="宋体"/>
          <w:sz w:val="24"/>
        </w:rPr>
        <w:t>申 请 单 位（盖章）：</w:t>
      </w:r>
      <w:bookmarkEnd w:id="23"/>
      <w:bookmarkEnd w:id="24"/>
      <w:bookmarkEnd w:id="25"/>
      <w:r>
        <w:rPr>
          <w:rFonts w:hint="eastAsia" w:ascii="宋体" w:hAnsi="宋体" w:eastAsia="宋体" w:cs="宋体"/>
          <w:sz w:val="24"/>
          <w:u w:val="single"/>
        </w:rPr>
        <w:t xml:space="preserve">                                                    </w:t>
      </w:r>
    </w:p>
    <w:p w14:paraId="7070BE47">
      <w:pPr>
        <w:spacing w:line="296" w:lineRule="auto"/>
        <w:ind w:firstLine="3840" w:firstLineChars="1600"/>
        <w:outlineLvl w:val="1"/>
        <w:rPr>
          <w:rFonts w:ascii="宋体" w:hAnsi="宋体" w:eastAsia="宋体" w:cs="宋体"/>
          <w:sz w:val="24"/>
          <w:u w:val="single"/>
        </w:rPr>
      </w:pPr>
      <w:bookmarkStart w:id="26" w:name="_Toc17490"/>
      <w:bookmarkStart w:id="27" w:name="_Toc9059"/>
      <w:r>
        <w:rPr>
          <w:rFonts w:hint="eastAsia" w:ascii="宋体" w:hAnsi="宋体" w:eastAsia="宋体" w:cs="宋体"/>
          <w:sz w:val="24"/>
        </w:rPr>
        <w:t>法定代表人（签字）：</w:t>
      </w:r>
      <w:bookmarkEnd w:id="26"/>
      <w:bookmarkEnd w:id="27"/>
      <w:r>
        <w:rPr>
          <w:rFonts w:hint="eastAsia" w:ascii="宋体" w:hAnsi="宋体" w:eastAsia="宋体" w:cs="宋体"/>
          <w:sz w:val="24"/>
          <w:u w:val="single"/>
        </w:rPr>
        <w:t xml:space="preserve">                          </w:t>
      </w:r>
    </w:p>
    <w:p w14:paraId="6B4A2D7C">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0ED20767">
      <w:pPr>
        <w:pStyle w:val="3"/>
        <w:spacing w:line="240" w:lineRule="auto"/>
        <w:rPr>
          <w:rFonts w:ascii="黑体" w:hAnsi="黑体"/>
          <w:color w:val="000000"/>
        </w:rPr>
      </w:pPr>
      <w:bookmarkStart w:id="28" w:name="_Toc12264"/>
      <w:bookmarkStart w:id="29" w:name="_Toc13094"/>
      <w:bookmarkStart w:id="30" w:name="_Toc32101"/>
      <w:bookmarkStart w:id="31" w:name="_Toc14469"/>
      <w:bookmarkStart w:id="32" w:name="_Toc11237"/>
      <w:bookmarkStart w:id="33" w:name="_Toc29841"/>
      <w:bookmarkStart w:id="34" w:name="_Toc4580"/>
      <w:r>
        <w:rPr>
          <w:rFonts w:hint="eastAsia" w:ascii="黑体" w:hAnsi="黑体"/>
          <w:color w:val="000000"/>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05755EC8">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6B98BEF">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19A715">
            <w:pPr>
              <w:pStyle w:val="2"/>
            </w:pPr>
          </w:p>
        </w:tc>
      </w:tr>
      <w:tr w14:paraId="64D24F37">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3D8091F6">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79E8F375">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53018C1F">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C0D790D">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02B6E0FF">
            <w:pPr>
              <w:spacing w:line="360" w:lineRule="auto"/>
              <w:rPr>
                <w:rFonts w:ascii="宋体" w:hAnsi="宋体" w:eastAsia="宋体"/>
                <w:sz w:val="22"/>
              </w:rPr>
            </w:pPr>
          </w:p>
        </w:tc>
      </w:tr>
      <w:tr w14:paraId="7004C2E3">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3DB65E96">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250B0B7">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E80DD19">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5CC78D62">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358801B">
            <w:pPr>
              <w:spacing w:line="360" w:lineRule="auto"/>
              <w:rPr>
                <w:rFonts w:ascii="宋体" w:hAnsi="宋体" w:eastAsia="宋体"/>
                <w:sz w:val="22"/>
              </w:rPr>
            </w:pPr>
          </w:p>
        </w:tc>
      </w:tr>
      <w:tr w14:paraId="7018658E">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492C302E">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166E38E">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125A0C3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3677A7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12B080">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07D564FC">
            <w:pPr>
              <w:spacing w:line="360" w:lineRule="auto"/>
              <w:rPr>
                <w:rFonts w:ascii="宋体" w:hAnsi="宋体" w:eastAsia="宋体"/>
                <w:sz w:val="22"/>
              </w:rPr>
            </w:pPr>
          </w:p>
        </w:tc>
      </w:tr>
      <w:tr w14:paraId="3A69A43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71795F">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245886E">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3E395B29">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4989C82">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08967329">
            <w:pPr>
              <w:spacing w:line="360" w:lineRule="auto"/>
              <w:rPr>
                <w:rFonts w:ascii="宋体" w:hAnsi="宋体" w:eastAsia="宋体"/>
                <w:sz w:val="22"/>
              </w:rPr>
            </w:pPr>
          </w:p>
        </w:tc>
      </w:tr>
      <w:tr w14:paraId="3FDD91F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DEB89BF">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1C4B405">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553BBF0B">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D0182E">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446D954">
            <w:pPr>
              <w:spacing w:line="360" w:lineRule="auto"/>
              <w:rPr>
                <w:rFonts w:ascii="宋体" w:hAnsi="宋体" w:eastAsia="宋体"/>
                <w:sz w:val="22"/>
              </w:rPr>
            </w:pPr>
          </w:p>
        </w:tc>
      </w:tr>
      <w:tr w14:paraId="55A499E4">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F17E13E">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73712E3">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D286626">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248EDA36">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75AC119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71D15135">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4CB57A9C">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4301CACC">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3CE849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212D014">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73C18AC3">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3B2881D6">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464EE47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546ECD5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024EDCC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00CA5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614B7A5">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DDE0DEF">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73EAAA3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7ED2D7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30E66CA">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A5A0D0F">
            <w:pPr>
              <w:spacing w:line="360" w:lineRule="auto"/>
              <w:jc w:val="center"/>
              <w:rPr>
                <w:rFonts w:ascii="宋体" w:hAnsi="宋体" w:eastAsia="宋体"/>
                <w:sz w:val="22"/>
              </w:rPr>
            </w:pPr>
          </w:p>
        </w:tc>
      </w:tr>
      <w:tr w14:paraId="1A6BE56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7434C26">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2BBFDA6">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05EE07D9">
            <w:pPr>
              <w:spacing w:line="360" w:lineRule="auto"/>
              <w:rPr>
                <w:rFonts w:ascii="宋体" w:hAnsi="宋体" w:eastAsia="宋体"/>
                <w:sz w:val="22"/>
              </w:rPr>
            </w:pPr>
          </w:p>
        </w:tc>
      </w:tr>
      <w:tr w14:paraId="685AA18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25DD802">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2BAEF667">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73EF62C6">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063CEA08">
            <w:pPr>
              <w:spacing w:line="360" w:lineRule="auto"/>
              <w:ind w:left="48"/>
              <w:rPr>
                <w:rFonts w:ascii="宋体" w:hAnsi="宋体" w:eastAsia="宋体"/>
                <w:sz w:val="22"/>
              </w:rPr>
            </w:pPr>
            <w:r>
              <w:rPr>
                <w:rFonts w:hint="eastAsia" w:ascii="宋体" w:hAnsi="宋体" w:eastAsia="宋体"/>
                <w:sz w:val="22"/>
              </w:rPr>
              <w:t>报表时间：</w:t>
            </w:r>
          </w:p>
        </w:tc>
      </w:tr>
      <w:tr w14:paraId="696721F7">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F515AC5">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6E33AD9F">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7F6A940A">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64A8700A">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63996937">
            <w:pPr>
              <w:pStyle w:val="16"/>
              <w:spacing w:line="360" w:lineRule="auto"/>
              <w:jc w:val="center"/>
            </w:pPr>
          </w:p>
          <w:p w14:paraId="6DACB5C9"/>
        </w:tc>
        <w:tc>
          <w:tcPr>
            <w:tcW w:w="795" w:type="dxa"/>
            <w:gridSpan w:val="3"/>
            <w:tcBorders>
              <w:top w:val="single" w:color="auto" w:sz="4" w:space="0"/>
              <w:left w:val="single" w:color="auto" w:sz="4" w:space="0"/>
              <w:bottom w:val="single" w:color="auto" w:sz="4" w:space="0"/>
              <w:right w:val="single" w:color="auto" w:sz="4" w:space="0"/>
            </w:tcBorders>
            <w:vAlign w:val="center"/>
          </w:tcPr>
          <w:p w14:paraId="24A4B603">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20FD9B74">
            <w:pPr>
              <w:pStyle w:val="16"/>
              <w:spacing w:line="360" w:lineRule="auto"/>
              <w:jc w:val="center"/>
            </w:pPr>
          </w:p>
          <w:p w14:paraId="280AB178">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25A9FE14">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6D7BCD80">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755AD5ED">
            <w:pPr>
              <w:pStyle w:val="16"/>
              <w:spacing w:line="360" w:lineRule="auto"/>
              <w:jc w:val="center"/>
              <w:rPr>
                <w:rFonts w:ascii="宋体" w:hAnsi="宋体" w:eastAsia="宋体"/>
                <w:sz w:val="22"/>
                <w:szCs w:val="24"/>
              </w:rPr>
            </w:pPr>
          </w:p>
        </w:tc>
      </w:tr>
      <w:tr w14:paraId="672A060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9C1F9B7">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F7F2372">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52553B0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9FA622E">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ED47C12">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42C91838">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47AA523D">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2218FB22">
            <w:pPr>
              <w:spacing w:line="360" w:lineRule="auto"/>
              <w:jc w:val="center"/>
              <w:rPr>
                <w:rFonts w:hint="default" w:ascii="宋体" w:hAnsi="宋体" w:eastAsia="宋体"/>
                <w:sz w:val="22"/>
                <w:lang w:val="en-US" w:eastAsia="zh-CN"/>
              </w:rPr>
            </w:pPr>
          </w:p>
        </w:tc>
      </w:tr>
      <w:tr w14:paraId="21ACEF55">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0EB9F1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8F72208">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64154AF3">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C8BF0E4">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58CA710F">
            <w:pPr>
              <w:spacing w:line="360" w:lineRule="auto"/>
              <w:jc w:val="center"/>
              <w:rPr>
                <w:rFonts w:hint="default" w:ascii="宋体" w:hAnsi="宋体" w:eastAsia="宋体"/>
                <w:sz w:val="22"/>
                <w:lang w:val="en-US" w:eastAsia="zh-CN"/>
              </w:rPr>
            </w:pPr>
          </w:p>
        </w:tc>
      </w:tr>
      <w:tr w14:paraId="1630ECA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E97D4F7">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136BEA40">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35AC253F">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7CD93918">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67FF4CE2">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20E5CB2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175AD0C1">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12F3750A">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1EA8FC28">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00F2FCC">
            <w:pPr>
              <w:spacing w:line="360" w:lineRule="auto"/>
              <w:rPr>
                <w:rFonts w:hint="eastAsia" w:ascii="宋体" w:hAnsi="宋体" w:eastAsia="宋体"/>
                <w:sz w:val="22"/>
                <w:lang w:val="en-US" w:eastAsia="zh-CN"/>
              </w:rPr>
            </w:pPr>
          </w:p>
        </w:tc>
      </w:tr>
      <w:tr w14:paraId="6BEDFC11">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2353C83A">
            <w:pPr>
              <w:spacing w:line="360" w:lineRule="auto"/>
              <w:jc w:val="center"/>
              <w:rPr>
                <w:rFonts w:ascii="宋体" w:hAnsi="宋体" w:eastAsia="宋体"/>
                <w:bCs/>
                <w:sz w:val="22"/>
              </w:rPr>
            </w:pPr>
            <w:r>
              <w:rPr>
                <w:rFonts w:hint="eastAsia" w:ascii="宋体" w:hAnsi="宋体" w:eastAsia="宋体"/>
                <w:bCs/>
                <w:sz w:val="22"/>
              </w:rPr>
              <w:t>附件</w:t>
            </w:r>
          </w:p>
          <w:p w14:paraId="1C47184C">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2A2DDD85">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FE20BAB">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7434F369">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CC83383">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031D2E7F">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F7C5835">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3BC6F05A">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4C156294">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8C57BD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BCFF41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23549673">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00900CF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A02A1F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7C6EC8C2">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2E02191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0B1AF1D6">
            <w:pPr>
              <w:spacing w:line="360" w:lineRule="auto"/>
              <w:jc w:val="left"/>
              <w:rPr>
                <w:rFonts w:ascii="宋体" w:hAnsi="宋体" w:eastAsia="宋体"/>
                <w:sz w:val="22"/>
              </w:rPr>
            </w:pPr>
          </w:p>
        </w:tc>
      </w:tr>
      <w:tr w14:paraId="0CAD9D3C">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79B92832">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7354DB0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6C4E05B">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5C94FCED">
            <w:pPr>
              <w:spacing w:line="360" w:lineRule="auto"/>
              <w:jc w:val="left"/>
              <w:rPr>
                <w:rFonts w:ascii="宋体" w:hAnsi="宋体" w:eastAsia="宋体"/>
                <w:sz w:val="22"/>
              </w:rPr>
            </w:pPr>
          </w:p>
        </w:tc>
      </w:tr>
      <w:tr w14:paraId="55A9ABF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28BC1AD">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40D37875">
            <w:pPr>
              <w:spacing w:line="360" w:lineRule="auto"/>
              <w:jc w:val="center"/>
              <w:rPr>
                <w:rFonts w:ascii="宋体" w:hAnsi="宋体" w:eastAsia="宋体"/>
                <w:bCs/>
                <w:sz w:val="22"/>
              </w:rPr>
            </w:pPr>
            <w:r>
              <w:rPr>
                <w:rFonts w:hint="eastAsia" w:ascii="宋体" w:hAnsi="宋体" w:eastAsia="宋体"/>
                <w:bCs/>
                <w:sz w:val="22"/>
              </w:rPr>
              <w:t>法人单位</w:t>
            </w:r>
          </w:p>
          <w:p w14:paraId="39AF4BA9">
            <w:pPr>
              <w:spacing w:line="360" w:lineRule="auto"/>
              <w:jc w:val="center"/>
              <w:rPr>
                <w:rFonts w:ascii="宋体" w:hAnsi="宋体" w:eastAsia="宋体"/>
                <w:bCs/>
                <w:sz w:val="22"/>
              </w:rPr>
            </w:pPr>
            <w:r>
              <w:rPr>
                <w:rFonts w:hint="eastAsia" w:ascii="宋体" w:hAnsi="宋体" w:eastAsia="宋体"/>
                <w:bCs/>
                <w:sz w:val="22"/>
              </w:rPr>
              <w:t>（如农业企业，</w:t>
            </w:r>
          </w:p>
          <w:p w14:paraId="0AB3CD0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91DF76D">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7F7320E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DE52C8B">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04A50A11">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75A193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4814779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8A7B2B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DA37EB1">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9B5D85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7131E3ED">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7E2953B">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A4208E3">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EC32855">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557FA6D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6647E1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3BA2CE3">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BB9AC1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549D5C1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F865240">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7C4F09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B92376A">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596CB2E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A91A50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D2EAE1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389E109">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493C405">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C46C65C">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B1D6C4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14520C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E1397C">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2F4F757D">
            <w:pPr>
              <w:spacing w:line="360" w:lineRule="auto"/>
              <w:jc w:val="left"/>
              <w:rPr>
                <w:rFonts w:ascii="宋体" w:hAnsi="宋体" w:eastAsia="宋体"/>
                <w:sz w:val="22"/>
              </w:rPr>
            </w:pPr>
          </w:p>
        </w:tc>
      </w:tr>
      <w:tr w14:paraId="29D1CC89">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FE3C8D8">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0567C87">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D4DF2DD">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45213773">
            <w:pPr>
              <w:spacing w:line="360" w:lineRule="auto"/>
              <w:jc w:val="left"/>
              <w:rPr>
                <w:rFonts w:ascii="宋体" w:hAnsi="宋体" w:eastAsia="宋体"/>
                <w:sz w:val="22"/>
              </w:rPr>
            </w:pPr>
          </w:p>
        </w:tc>
      </w:tr>
      <w:tr w14:paraId="2F11DCE8">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EAE0232">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42CFDC49">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0845B3D4">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BBF315F">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48E91765">
            <w:pPr>
              <w:spacing w:line="360" w:lineRule="auto"/>
              <w:rPr>
                <w:rFonts w:ascii="宋体" w:hAnsi="宋体" w:eastAsia="宋体"/>
                <w:sz w:val="22"/>
              </w:rPr>
            </w:pPr>
          </w:p>
        </w:tc>
      </w:tr>
      <w:tr w14:paraId="71888BFF">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54BE036">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DBA8495">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E622068">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23E73B7">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662FB66B">
            <w:pPr>
              <w:spacing w:line="360" w:lineRule="auto"/>
              <w:jc w:val="center"/>
              <w:rPr>
                <w:rFonts w:hint="default" w:ascii="宋体" w:hAnsi="宋体" w:eastAsia="宋体"/>
                <w:sz w:val="22"/>
                <w:lang w:val="en-US" w:eastAsia="zh-CN"/>
              </w:rPr>
            </w:pPr>
          </w:p>
        </w:tc>
      </w:tr>
    </w:tbl>
    <w:p w14:paraId="0B9A9DBB">
      <w:pPr>
        <w:spacing w:line="570" w:lineRule="exact"/>
        <w:jc w:val="center"/>
        <w:rPr>
          <w:rFonts w:hint="eastAsia" w:ascii="方正小标宋简体" w:hAnsi="方正小标宋简体" w:eastAsia="方正小标宋简体" w:cs="方正小标宋简体"/>
          <w:b/>
          <w:bCs/>
          <w:sz w:val="36"/>
          <w:szCs w:val="36"/>
          <w:u w:val="single"/>
        </w:rPr>
      </w:pPr>
    </w:p>
    <w:p w14:paraId="75F818DA">
      <w:pPr>
        <w:spacing w:line="570" w:lineRule="exact"/>
        <w:jc w:val="center"/>
        <w:rPr>
          <w:rFonts w:hint="eastAsia" w:ascii="方正小标宋简体" w:hAnsi="方正小标宋简体" w:eastAsia="方正小标宋简体" w:cs="方正小标宋简体"/>
          <w:b/>
          <w:bCs/>
          <w:sz w:val="36"/>
          <w:szCs w:val="36"/>
          <w:u w:val="single"/>
        </w:rPr>
      </w:pPr>
    </w:p>
    <w:p w14:paraId="7B1D08D7">
      <w:pPr>
        <w:spacing w:line="570" w:lineRule="exact"/>
        <w:jc w:val="center"/>
        <w:rPr>
          <w:rFonts w:hint="eastAsia" w:ascii="方正小标宋简体" w:hAnsi="方正小标宋简体" w:eastAsia="方正小标宋简体" w:cs="方正小标宋简体"/>
          <w:b/>
          <w:bCs/>
          <w:sz w:val="36"/>
          <w:szCs w:val="36"/>
          <w:u w:val="single"/>
        </w:rPr>
      </w:pPr>
    </w:p>
    <w:p w14:paraId="1F79E15B">
      <w:pPr>
        <w:spacing w:line="570" w:lineRule="exact"/>
        <w:jc w:val="center"/>
        <w:rPr>
          <w:rFonts w:hint="eastAsia" w:ascii="方正小标宋_GBK" w:hAnsi="方正小标宋_GBK" w:eastAsia="方正小标宋_GBK" w:cs="方正小标宋_GBK"/>
          <w:b/>
          <w:bCs/>
          <w:sz w:val="36"/>
          <w:szCs w:val="36"/>
        </w:rPr>
      </w:pPr>
      <w:r>
        <w:rPr>
          <w:rFonts w:hint="eastAsia" w:ascii="方正小标宋_GBK" w:hAnsi="方正小标宋_GBK" w:eastAsia="方正小标宋_GBK" w:cs="方正小标宋_GBK"/>
          <w:b/>
          <w:bCs/>
          <w:color w:val="C00000"/>
          <w:sz w:val="36"/>
          <w:szCs w:val="36"/>
          <w:lang w:val="en-US" w:eastAsia="zh-CN"/>
        </w:rPr>
        <w:t>儋州市和庆农场有限公司南斗龙地块3号树位10.34亩橡胶园地出租</w:t>
      </w:r>
      <w:r>
        <w:rPr>
          <w:rFonts w:hint="eastAsia" w:ascii="方正小标宋_GBK" w:hAnsi="方正小标宋_GBK" w:eastAsia="方正小标宋_GBK" w:cs="方正小标宋_GBK"/>
          <w:b/>
          <w:bCs/>
          <w:sz w:val="36"/>
          <w:szCs w:val="36"/>
          <w:lang w:val="en-US" w:eastAsia="zh-CN"/>
        </w:rPr>
        <w:t>交易</w:t>
      </w:r>
      <w:r>
        <w:rPr>
          <w:rFonts w:hint="eastAsia" w:ascii="方正小标宋_GBK" w:hAnsi="方正小标宋_GBK" w:eastAsia="方正小标宋_GBK" w:cs="方正小标宋_GBK"/>
          <w:b/>
          <w:bCs/>
          <w:sz w:val="36"/>
          <w:szCs w:val="36"/>
        </w:rPr>
        <w:t>公示</w:t>
      </w:r>
    </w:p>
    <w:p w14:paraId="267D28A9">
      <w:pPr>
        <w:spacing w:line="520" w:lineRule="exact"/>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cstheme="minorEastAsia"/>
          <w:color w:val="000000" w:themeColor="text1"/>
          <w:sz w:val="32"/>
          <w:szCs w:val="32"/>
          <w:lang w:val="en-US" w:eastAsia="zh-CN"/>
          <w14:textFill>
            <w14:solidFill>
              <w14:schemeClr w14:val="tx1"/>
            </w14:solidFill>
          </w14:textFill>
        </w:rPr>
        <w:t>儋州市和庆农场有限公司</w:t>
      </w:r>
      <w:r>
        <w:rPr>
          <w:rFonts w:hint="eastAsia" w:asciiTheme="minorEastAsia" w:hAnsiTheme="minorEastAsia" w:eastAsiaTheme="minorEastAsia" w:cstheme="minorEastAsia"/>
          <w:color w:val="000000" w:themeColor="text1"/>
          <w:sz w:val="32"/>
          <w:szCs w:val="32"/>
          <w14:textFill>
            <w14:solidFill>
              <w14:schemeClr w14:val="tx1"/>
            </w14:solidFill>
          </w14:textFill>
        </w:rPr>
        <w:t>召</w:t>
      </w:r>
      <w:r>
        <w:rPr>
          <w:rFonts w:hint="eastAsia" w:asciiTheme="minorEastAsia" w:hAnsiTheme="minorEastAsia" w:eastAsiaTheme="minorEastAsia" w:cstheme="minorEastAsia"/>
          <w:sz w:val="32"/>
          <w:szCs w:val="32"/>
        </w:rPr>
        <w:t>开的会议决议，同意</w:t>
      </w:r>
      <w:r>
        <w:rPr>
          <w:rFonts w:hint="eastAsia" w:asciiTheme="minorEastAsia" w:hAnsiTheme="minorEastAsia" w:cstheme="minorEastAsia"/>
          <w:color w:val="C00000"/>
          <w:sz w:val="32"/>
          <w:szCs w:val="32"/>
          <w:u w:val="single"/>
          <w:lang w:val="en-US" w:eastAsia="zh-CN"/>
        </w:rPr>
        <w:t>儋州市和庆农场有限公司南斗龙地块3号树位10.34亩橡胶园地出租</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儋州市</w:t>
      </w:r>
      <w:r>
        <w:rPr>
          <w:rFonts w:hint="eastAsia" w:asciiTheme="minorEastAsia" w:hAnsiTheme="minorEastAsia" w:eastAsiaTheme="minorEastAsia" w:cstheme="minorEastAsia"/>
          <w:sz w:val="32"/>
          <w:szCs w:val="32"/>
        </w:rPr>
        <w:t>农村产权交易</w:t>
      </w:r>
      <w:r>
        <w:rPr>
          <w:rFonts w:hint="eastAsia" w:asciiTheme="minorEastAsia" w:hAnsiTheme="minorEastAsia" w:cstheme="minorEastAsia"/>
          <w:sz w:val="32"/>
          <w:szCs w:val="32"/>
          <w:lang w:val="en-US" w:eastAsia="zh-CN"/>
        </w:rPr>
        <w:t>中心</w:t>
      </w:r>
      <w:r>
        <w:rPr>
          <w:rFonts w:hint="eastAsia" w:asciiTheme="minorEastAsia" w:hAnsiTheme="minorEastAsia" w:eastAsiaTheme="minorEastAsia" w:cstheme="minorEastAsia"/>
          <w:sz w:val="32"/>
          <w:szCs w:val="32"/>
        </w:rPr>
        <w:t>（https://danzhou.nongjiao.com/，以下简称“</w:t>
      </w:r>
      <w:r>
        <w:rPr>
          <w:rFonts w:hint="eastAsia" w:asciiTheme="minorEastAsia" w:hAnsiTheme="minorEastAsia" w:cstheme="minorEastAsia"/>
          <w:sz w:val="32"/>
          <w:szCs w:val="32"/>
          <w:lang w:val="en-US" w:eastAsia="zh-CN"/>
        </w:rPr>
        <w:t>农交中心</w:t>
      </w:r>
      <w:r>
        <w:rPr>
          <w:rFonts w:hint="eastAsia" w:asciiTheme="minorEastAsia" w:hAnsiTheme="minorEastAsia" w:eastAsiaTheme="minorEastAsia" w:cstheme="minorEastAsia"/>
          <w:sz w:val="32"/>
          <w:szCs w:val="32"/>
        </w:rPr>
        <w:t>”）进行出租交易，依据《海南</w:t>
      </w:r>
      <w:r>
        <w:rPr>
          <w:rFonts w:hint="eastAsia" w:asciiTheme="minorEastAsia" w:hAnsiTheme="minorEastAsia" w:cstheme="minorEastAsia"/>
          <w:sz w:val="32"/>
          <w:szCs w:val="32"/>
          <w:lang w:val="en-US" w:eastAsia="zh-CN"/>
        </w:rPr>
        <w:t>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val="en-US" w:eastAsia="zh-CN"/>
        </w:rPr>
        <w:t>农交中心</w:t>
      </w:r>
      <w:r>
        <w:rPr>
          <w:rFonts w:hint="eastAsia" w:asciiTheme="minorEastAsia" w:hAnsiTheme="minorEastAsia" w:eastAsiaTheme="minorEastAsia" w:cstheme="minorEastAsia"/>
          <w:sz w:val="32"/>
          <w:szCs w:val="32"/>
        </w:rPr>
        <w:t>挂牌交易，现将公示如下：</w:t>
      </w:r>
    </w:p>
    <w:p w14:paraId="028610A3">
      <w:pPr>
        <w:numPr>
          <w:ilvl w:val="0"/>
          <w:numId w:val="2"/>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16E75625">
      <w:pPr>
        <w:spacing w:line="520" w:lineRule="exact"/>
        <w:ind w:left="1959" w:leftChars="266" w:hanging="1400" w:hangingChars="500"/>
        <w:rPr>
          <w:rFonts w:hint="eastAsia" w:asciiTheme="minorEastAsia" w:hAnsiTheme="minorEastAsia" w:eastAsiaTheme="minorEastAsia" w:cstheme="minorEastAsia"/>
          <w:color w:val="C00000"/>
          <w:sz w:val="28"/>
          <w:szCs w:val="28"/>
          <w:lang w:val="en-US" w:eastAsia="zh-CN"/>
        </w:rPr>
      </w:pPr>
      <w:r>
        <w:rPr>
          <w:rFonts w:hint="eastAsia" w:asciiTheme="minorEastAsia" w:hAnsiTheme="minorEastAsia" w:eastAsiaTheme="minorEastAsia" w:cstheme="minorEastAsia"/>
          <w:sz w:val="28"/>
          <w:szCs w:val="28"/>
        </w:rPr>
        <w:t>标的名称：</w:t>
      </w:r>
      <w:r>
        <w:rPr>
          <w:rFonts w:hint="eastAsia" w:asciiTheme="minorEastAsia" w:hAnsiTheme="minorEastAsia" w:eastAsiaTheme="minorEastAsia" w:cstheme="minorEastAsia"/>
          <w:color w:val="C00000"/>
          <w:sz w:val="28"/>
          <w:szCs w:val="28"/>
        </w:rPr>
        <w:t>儋州市和庆农场有限公司南斗龙地块3号树位10.34亩橡胶园地出租</w:t>
      </w:r>
    </w:p>
    <w:p w14:paraId="5DA4BF4C">
      <w:pPr>
        <w:spacing w:line="520" w:lineRule="exact"/>
        <w:ind w:firstLine="560" w:firstLineChars="200"/>
        <w:rPr>
          <w:rFonts w:hint="default" w:asciiTheme="minorEastAsia" w:hAnsiTheme="minorEastAsia" w:eastAsiaTheme="minorEastAsia" w:cstheme="minorEastAsia"/>
          <w:color w:val="C00000"/>
          <w:sz w:val="28"/>
          <w:szCs w:val="28"/>
          <w:lang w:val="en-US"/>
        </w:rPr>
      </w:pPr>
      <w:r>
        <w:rPr>
          <w:rFonts w:hint="eastAsia" w:asciiTheme="minorEastAsia" w:hAnsiTheme="minorEastAsia" w:eastAsiaTheme="minorEastAsia" w:cstheme="minorEastAsia"/>
          <w:sz w:val="28"/>
          <w:szCs w:val="28"/>
          <w:lang w:val="en-US" w:eastAsia="zh-CN"/>
        </w:rPr>
        <w:t>出租方：</w:t>
      </w:r>
      <w:r>
        <w:rPr>
          <w:rFonts w:hint="eastAsia" w:asciiTheme="minorEastAsia" w:hAnsiTheme="minorEastAsia" w:cstheme="minorEastAsia"/>
          <w:sz w:val="28"/>
          <w:szCs w:val="28"/>
          <w:lang w:val="en-US" w:eastAsia="zh-CN"/>
        </w:rPr>
        <w:t>儋州市和庆农场有限公司</w:t>
      </w:r>
    </w:p>
    <w:p w14:paraId="090433A7">
      <w:pPr>
        <w:spacing w:line="520" w:lineRule="exact"/>
        <w:ind w:firstLine="560" w:firstLineChars="200"/>
        <w:rPr>
          <w:rFonts w:hint="default" w:asciiTheme="minorEastAsia" w:hAnsiTheme="minorEastAsia" w:eastAsiaTheme="minorEastAsia" w:cstheme="minorEastAsia"/>
          <w:color w:val="C00000"/>
          <w:sz w:val="28"/>
          <w:szCs w:val="28"/>
          <w:lang w:val="en-US" w:eastAsia="zh-CN"/>
        </w:rPr>
      </w:pPr>
      <w:r>
        <w:rPr>
          <w:rFonts w:hint="eastAsia" w:asciiTheme="minorEastAsia" w:hAnsiTheme="minorEastAsia" w:eastAsiaTheme="minorEastAsia" w:cstheme="minorEastAsia"/>
          <w:sz w:val="28"/>
          <w:szCs w:val="28"/>
        </w:rPr>
        <w:t>出租面积：</w:t>
      </w:r>
      <w:r>
        <w:rPr>
          <w:rFonts w:hint="eastAsia" w:asciiTheme="minorEastAsia" w:hAnsiTheme="minorEastAsia" w:cstheme="minorEastAsia"/>
          <w:color w:val="C00000"/>
          <w:sz w:val="28"/>
          <w:szCs w:val="28"/>
          <w:lang w:val="en-US" w:eastAsia="zh-CN"/>
        </w:rPr>
        <w:t>10.34亩</w:t>
      </w:r>
    </w:p>
    <w:p w14:paraId="4D35ABF6">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20年</w:t>
      </w:r>
    </w:p>
    <w:p w14:paraId="16AAE530">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default" w:asciiTheme="minorEastAsia" w:hAnsiTheme="minorEastAsia" w:eastAsiaTheme="minorEastAsia" w:cstheme="minorEastAsia"/>
          <w:b w:val="0"/>
          <w:bCs w:val="0"/>
          <w:color w:val="C00000"/>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C00000"/>
          <w:sz w:val="28"/>
          <w:szCs w:val="28"/>
          <w:highlight w:val="none"/>
          <w:u w:val="none"/>
          <w:lang w:val="en-US" w:eastAsia="zh-CN"/>
        </w:rPr>
        <w:t>2960.86元/年</w:t>
      </w:r>
    </w:p>
    <w:p w14:paraId="4EC93440">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 ：</w:t>
      </w:r>
      <w:r>
        <w:rPr>
          <w:rFonts w:hint="eastAsia" w:asciiTheme="minorEastAsia" w:hAnsiTheme="minorEastAsia" w:cstheme="minorEastAsia"/>
          <w:b w:val="0"/>
          <w:bCs w:val="0"/>
          <w:color w:val="auto"/>
          <w:sz w:val="28"/>
          <w:szCs w:val="28"/>
          <w:highlight w:val="none"/>
          <w:u w:val="none"/>
          <w:lang w:val="en-US" w:eastAsia="zh-CN"/>
        </w:rPr>
        <w:t>600元</w:t>
      </w:r>
    </w:p>
    <w:p w14:paraId="7FFFF40B">
      <w:pPr>
        <w:spacing w:line="520" w:lineRule="exact"/>
        <w:ind w:firstLine="560" w:firstLineChars="200"/>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w:t>
      </w:r>
      <w:r>
        <w:rPr>
          <w:rFonts w:hint="eastAsia" w:asciiTheme="minorEastAsia" w:hAnsiTheme="minorEastAsia" w:cstheme="minorEastAsia"/>
          <w:sz w:val="28"/>
          <w:szCs w:val="28"/>
          <w:lang w:val="en-US" w:eastAsia="zh-CN"/>
        </w:rPr>
        <w:t>26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21</w:t>
      </w:r>
      <w:r>
        <w:rPr>
          <w:rFonts w:hint="eastAsia" w:asciiTheme="minorEastAsia" w:hAnsiTheme="minorEastAsia" w:eastAsiaTheme="minorEastAsia" w:cstheme="minorEastAsia"/>
          <w:sz w:val="28"/>
          <w:szCs w:val="28"/>
        </w:rPr>
        <w:t xml:space="preserve"> 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27</w:t>
      </w:r>
      <w:r>
        <w:rPr>
          <w:rFonts w:hint="eastAsia" w:asciiTheme="minorEastAsia" w:hAnsiTheme="minorEastAsia" w:eastAsiaTheme="minorEastAsia" w:cstheme="minorEastAsia"/>
          <w:sz w:val="28"/>
          <w:szCs w:val="28"/>
        </w:rPr>
        <w:t xml:space="preserve"> 1</w:t>
      </w:r>
      <w:r>
        <w:rPr>
          <w:rFonts w:hint="eastAsia" w:asciiTheme="minorEastAsia" w:hAnsiTheme="minorEastAsia" w:eastAsiaTheme="minorEastAsia" w:cstheme="minorEastAsia"/>
          <w:sz w:val="28"/>
          <w:szCs w:val="28"/>
          <w:lang w:val="en-US" w:eastAsia="zh-CN"/>
        </w:rPr>
        <w:t>0</w:t>
      </w:r>
      <w:r>
        <w:rPr>
          <w:rFonts w:hint="eastAsia" w:asciiTheme="minorEastAsia" w:hAnsiTheme="minorEastAsia" w:eastAsiaTheme="minorEastAsia" w:cstheme="minorEastAsia"/>
          <w:sz w:val="28"/>
          <w:szCs w:val="28"/>
        </w:rPr>
        <w:t>:00</w:t>
      </w:r>
    </w:p>
    <w:p w14:paraId="329A1B3E">
      <w:pPr>
        <w:spacing w:line="520" w:lineRule="exact"/>
        <w:ind w:firstLine="560" w:firstLineChars="2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w:t>
      </w:r>
      <w:r>
        <w:rPr>
          <w:rFonts w:hint="eastAsia" w:asciiTheme="minorEastAsia" w:hAnsiTheme="minorEastAsia" w:cstheme="minorEastAsia"/>
          <w:sz w:val="28"/>
          <w:szCs w:val="28"/>
          <w:lang w:val="en-US" w:eastAsia="zh-CN"/>
        </w:rPr>
        <w:t>26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28</w:t>
      </w:r>
      <w:r>
        <w:rPr>
          <w:rFonts w:hint="eastAsia" w:asciiTheme="minorEastAsia" w:hAnsiTheme="minorEastAsia" w:eastAsiaTheme="minorEastAsia" w:cstheme="minorEastAsia"/>
          <w:sz w:val="28"/>
          <w:szCs w:val="28"/>
        </w:rPr>
        <w:t xml:space="preserve"> 10:00至20</w:t>
      </w:r>
      <w:r>
        <w:rPr>
          <w:rFonts w:hint="eastAsia" w:asciiTheme="minorEastAsia" w:hAnsiTheme="minorEastAsia" w:cstheme="minorEastAsia"/>
          <w:sz w:val="28"/>
          <w:szCs w:val="28"/>
          <w:lang w:val="en-US" w:eastAsia="zh-CN"/>
        </w:rPr>
        <w:t>26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08</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2</w:t>
      </w:r>
      <w:bookmarkStart w:id="36" w:name="_GoBack"/>
      <w:bookmarkEnd w:id="36"/>
      <w:r>
        <w:rPr>
          <w:rFonts w:hint="eastAsia" w:asciiTheme="minorEastAsia" w:hAnsiTheme="minorEastAsia" w:cstheme="minorEastAsia"/>
          <w:sz w:val="28"/>
          <w:szCs w:val="28"/>
          <w:lang w:val="en-US" w:eastAsia="zh-CN"/>
        </w:rPr>
        <w:t>8</w:t>
      </w:r>
      <w:r>
        <w:rPr>
          <w:rFonts w:hint="eastAsia" w:asciiTheme="minorEastAsia" w:hAnsiTheme="minorEastAsia" w:eastAsiaTheme="minorEastAsia" w:cstheme="minorEastAsia"/>
          <w:sz w:val="28"/>
          <w:szCs w:val="28"/>
        </w:rPr>
        <w:t xml:space="preserve"> 16:00</w:t>
      </w:r>
    </w:p>
    <w:p w14:paraId="57CC583F">
      <w:pPr>
        <w:spacing w:line="520" w:lineRule="exact"/>
        <w:ind w:left="1959" w:leftChars="266" w:hanging="1400" w:hangingChars="5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租金一年一付，5年为一期，每期递增3%。</w:t>
      </w:r>
    </w:p>
    <w:p w14:paraId="109B9B75">
      <w:pPr>
        <w:spacing w:line="520" w:lineRule="exact"/>
        <w:ind w:firstLine="560" w:firstLineChars="200"/>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8"/>
          <w:szCs w:val="28"/>
          <w:lang w:val="en-US" w:eastAsia="zh-CN"/>
        </w:rPr>
        <w:t>陈方华13637692887</w:t>
      </w:r>
    </w:p>
    <w:p w14:paraId="55CB3161">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484B87F5">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w:t>
      </w:r>
      <w:r>
        <w:rPr>
          <w:rFonts w:hint="eastAsia" w:asciiTheme="minorEastAsia" w:hAnsiTheme="minorEastAsia" w:cstheme="minorEastAsia"/>
          <w:sz w:val="28"/>
          <w:szCs w:val="28"/>
          <w:lang w:val="en-US" w:eastAsia="zh-CN"/>
        </w:rPr>
        <w:t>农交中心</w:t>
      </w:r>
      <w:r>
        <w:rPr>
          <w:rFonts w:hint="eastAsia" w:asciiTheme="minorEastAsia" w:hAnsiTheme="minorEastAsia" w:eastAsiaTheme="minorEastAsia" w:cstheme="minorEastAsia"/>
          <w:sz w:val="28"/>
          <w:szCs w:val="28"/>
        </w:rPr>
        <w:t>流转交易。</w:t>
      </w:r>
    </w:p>
    <w:p w14:paraId="0CAA2312">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监督电话：0898-</w:t>
      </w:r>
      <w:r>
        <w:rPr>
          <w:rFonts w:hint="eastAsia" w:asciiTheme="minorEastAsia" w:hAnsiTheme="minorEastAsia" w:cstheme="minorEastAsia"/>
          <w:sz w:val="28"/>
          <w:szCs w:val="28"/>
          <w:lang w:val="en-US" w:eastAsia="zh-CN"/>
        </w:rPr>
        <w:t>36786688</w:t>
      </w:r>
      <w:r>
        <w:rPr>
          <w:rFonts w:hint="eastAsia" w:asciiTheme="minorEastAsia" w:hAnsiTheme="minorEastAsia" w:eastAsiaTheme="minorEastAsia" w:cstheme="minorEastAsia"/>
          <w:sz w:val="28"/>
          <w:szCs w:val="28"/>
        </w:rPr>
        <w:t>（报名热线）</w:t>
      </w:r>
    </w:p>
    <w:p w14:paraId="09F27734">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报名地址：海南省</w:t>
      </w:r>
      <w:r>
        <w:rPr>
          <w:rFonts w:hint="eastAsia" w:asciiTheme="minorEastAsia" w:hAnsiTheme="minorEastAsia" w:cstheme="minorEastAsia"/>
          <w:sz w:val="28"/>
          <w:szCs w:val="28"/>
          <w:lang w:val="en-US" w:eastAsia="zh-CN"/>
        </w:rPr>
        <w:t>儋州</w:t>
      </w:r>
      <w:r>
        <w:rPr>
          <w:rFonts w:hint="eastAsia" w:asciiTheme="minorEastAsia" w:hAnsiTheme="minorEastAsia" w:eastAsiaTheme="minorEastAsia" w:cstheme="minorEastAsia"/>
          <w:sz w:val="28"/>
          <w:szCs w:val="28"/>
        </w:rPr>
        <w:t>市</w:t>
      </w:r>
      <w:r>
        <w:rPr>
          <w:rFonts w:hint="eastAsia" w:asciiTheme="minorEastAsia" w:hAnsiTheme="minorEastAsia" w:cstheme="minorEastAsia"/>
          <w:sz w:val="28"/>
          <w:szCs w:val="28"/>
          <w:lang w:val="en-US" w:eastAsia="zh-CN"/>
        </w:rPr>
        <w:t>那大镇解放北路127号</w:t>
      </w:r>
      <w:r>
        <w:rPr>
          <w:rFonts w:hint="eastAsia" w:asciiTheme="minorEastAsia" w:hAnsiTheme="minorEastAsia" w:eastAsiaTheme="minorEastAsia" w:cstheme="minorEastAsia"/>
          <w:sz w:val="28"/>
          <w:szCs w:val="28"/>
        </w:rPr>
        <w:t>。</w:t>
      </w:r>
    </w:p>
    <w:p w14:paraId="010BC8D4">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项目在</w:t>
      </w:r>
      <w:r>
        <w:rPr>
          <w:rFonts w:hint="eastAsia" w:asciiTheme="minorEastAsia" w:hAnsiTheme="minorEastAsia" w:cstheme="minorEastAsia"/>
          <w:sz w:val="28"/>
          <w:szCs w:val="28"/>
          <w:lang w:val="en-US" w:eastAsia="zh-CN"/>
        </w:rPr>
        <w:t>农交中心</w:t>
      </w:r>
      <w:r>
        <w:rPr>
          <w:rFonts w:hint="eastAsia" w:asciiTheme="minorEastAsia" w:hAnsiTheme="minorEastAsia" w:eastAsiaTheme="minorEastAsia" w:cstheme="minorEastAsia"/>
          <w:sz w:val="28"/>
          <w:szCs w:val="28"/>
        </w:rPr>
        <w:t xml:space="preserve">挂网公告中，欢迎意向客户报名竞投!详情请登录 </w:t>
      </w:r>
      <w:r>
        <w:rPr>
          <w:rFonts w:hint="eastAsia" w:asciiTheme="minorEastAsia" w:hAnsiTheme="minorEastAsia" w:eastAsiaTheme="minorEastAsia" w:cstheme="minorEastAsia"/>
          <w:b/>
          <w:bCs/>
          <w:sz w:val="28"/>
          <w:szCs w:val="28"/>
        </w:rPr>
        <w:t>https://danzhou.nongjiao.com/</w:t>
      </w:r>
      <w:r>
        <w:rPr>
          <w:rFonts w:hint="eastAsia" w:asciiTheme="minorEastAsia" w:hAnsiTheme="minorEastAsia" w:eastAsiaTheme="minorEastAsia" w:cstheme="minorEastAsia"/>
          <w:sz w:val="28"/>
          <w:szCs w:val="28"/>
        </w:rPr>
        <w:t>查看，以网站项目详情页为准。或扫下方二维码关注挂网项目。</w:t>
      </w:r>
    </w:p>
    <w:p w14:paraId="281FF017">
      <w:pPr>
        <w:pStyle w:val="2"/>
        <w:rPr>
          <w:rFonts w:hint="eastAsia" w:eastAsiaTheme="minorEastAsia"/>
          <w:lang w:eastAsia="zh-CN"/>
        </w:rPr>
      </w:pPr>
      <w:r>
        <w:rPr>
          <w:rFonts w:hint="eastAsia" w:eastAsiaTheme="minorEastAsia"/>
          <w:lang w:eastAsia="zh-CN"/>
        </w:rPr>
        <w:drawing>
          <wp:inline distT="0" distB="0" distL="114300" distR="114300">
            <wp:extent cx="1324610" cy="1324610"/>
            <wp:effectExtent l="0" t="0" r="8890" b="8890"/>
            <wp:docPr id="1" name="图片 1" descr="公众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公众号二维码"/>
                    <pic:cNvPicPr>
                      <a:picLocks noChangeAspect="1"/>
                    </pic:cNvPicPr>
                  </pic:nvPicPr>
                  <pic:blipFill>
                    <a:blip r:embed="rId4"/>
                    <a:stretch>
                      <a:fillRect/>
                    </a:stretch>
                  </pic:blipFill>
                  <pic:spPr>
                    <a:xfrm>
                      <a:off x="0" y="0"/>
                      <a:ext cx="1324610" cy="1324610"/>
                    </a:xfrm>
                    <a:prstGeom prst="rect">
                      <a:avLst/>
                    </a:prstGeom>
                  </pic:spPr>
                </pic:pic>
              </a:graphicData>
            </a:graphic>
          </wp:inline>
        </w:drawing>
      </w:r>
    </w:p>
    <w:p w14:paraId="490BBFCF">
      <w:pPr>
        <w:spacing w:line="570" w:lineRule="exact"/>
        <w:ind w:firstLine="560" w:firstLineChars="200"/>
        <w:jc w:val="right"/>
        <w:rPr>
          <w:rFonts w:ascii="宋体" w:hAnsi="宋体" w:eastAsia="宋体" w:cs="宋体"/>
          <w:sz w:val="28"/>
          <w:szCs w:val="28"/>
          <w:u w:val="single"/>
        </w:rPr>
      </w:pPr>
    </w:p>
    <w:p w14:paraId="1B6185D1">
      <w:pPr>
        <w:pStyle w:val="5"/>
        <w:jc w:val="right"/>
        <w:rPr>
          <w:b/>
          <w:bCs/>
          <w:sz w:val="28"/>
          <w:szCs w:val="36"/>
        </w:rPr>
      </w:pPr>
      <w:r>
        <w:rPr>
          <w:rFonts w:hint="eastAsia"/>
          <w:b/>
          <w:bCs/>
          <w:sz w:val="28"/>
          <w:szCs w:val="36"/>
        </w:rPr>
        <w:t>已详细阅读此交易公示，对此交易公示内容无异议。</w:t>
      </w:r>
    </w:p>
    <w:p w14:paraId="16105E9E">
      <w:pPr>
        <w:pStyle w:val="5"/>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25C38F4C">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21FD63F9">
      <w:pPr>
        <w:pStyle w:val="7"/>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1C34C551-1063-4767-898B-904520B4E10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embedRegular r:id="rId2" w:fontKey="{CA46A34C-61F1-44C0-9103-B6E5F5642160}"/>
  </w:font>
  <w:font w:name="仿宋">
    <w:panose1 w:val="02010609060101010101"/>
    <w:charset w:val="86"/>
    <w:family w:val="auto"/>
    <w:pitch w:val="default"/>
    <w:sig w:usb0="800002BF" w:usb1="38CF7CFA" w:usb2="00000016" w:usb3="00000000" w:csb0="00040001" w:csb1="00000000"/>
    <w:embedRegular r:id="rId3" w:fontKey="{FFADA3DD-4E19-45BF-8B71-C1CEE7A01BB8}"/>
  </w:font>
  <w:font w:name="新宋体">
    <w:panose1 w:val="02010609030101010101"/>
    <w:charset w:val="86"/>
    <w:family w:val="modern"/>
    <w:pitch w:val="default"/>
    <w:sig w:usb0="00000203" w:usb1="288F0000" w:usb2="00000006" w:usb3="00000000" w:csb0="00040001" w:csb1="00000000"/>
    <w:embedRegular r:id="rId4" w:fontKey="{C2564607-777F-4B63-8F3D-82CF64FECFEB}"/>
  </w:font>
  <w:font w:name="微软雅黑">
    <w:panose1 w:val="020B0503020204020204"/>
    <w:charset w:val="86"/>
    <w:family w:val="swiss"/>
    <w:pitch w:val="default"/>
    <w:sig w:usb0="80000287" w:usb1="2ACF3C50" w:usb2="00000016" w:usb3="00000000" w:csb0="0004001F" w:csb1="00000000"/>
    <w:embedRegular r:id="rId5" w:fontKey="{428417BC-70DE-4FE9-852A-0436E8DA378E}"/>
  </w:font>
  <w:font w:name="方正小标宋简体">
    <w:panose1 w:val="02000000000000000000"/>
    <w:charset w:val="86"/>
    <w:family w:val="auto"/>
    <w:pitch w:val="default"/>
    <w:sig w:usb0="00000001" w:usb1="08000000" w:usb2="00000000" w:usb3="00000000" w:csb0="00040000" w:csb1="00000000"/>
    <w:embedRegular r:id="rId6" w:fontKey="{5C4F8A56-7610-40A4-975F-8CE18D8878B7}"/>
  </w:font>
  <w:font w:name="方正小标宋_GBK">
    <w:panose1 w:val="02000000000000000000"/>
    <w:charset w:val="86"/>
    <w:family w:val="auto"/>
    <w:pitch w:val="default"/>
    <w:sig w:usb0="A00002BF" w:usb1="38CF7CFA" w:usb2="00082016" w:usb3="00000000" w:csb0="00040001" w:csb1="00000000"/>
    <w:embedRegular r:id="rId7" w:fontKey="{C37F4AAD-8148-43B8-AE31-8D0405A53FC6}"/>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FhYjE4MWFmOGQwMzBiMjRmYTI3Y2I3MzVhNDRkOTAifQ=="/>
  </w:docVars>
  <w:rsids>
    <w:rsidRoot w:val="00125DA0"/>
    <w:rsid w:val="00075E67"/>
    <w:rsid w:val="00125DA0"/>
    <w:rsid w:val="00167AC6"/>
    <w:rsid w:val="00562DC2"/>
    <w:rsid w:val="00B57B36"/>
    <w:rsid w:val="00BF421D"/>
    <w:rsid w:val="00C53B5B"/>
    <w:rsid w:val="00CD7376"/>
    <w:rsid w:val="00E03B4E"/>
    <w:rsid w:val="00E541D7"/>
    <w:rsid w:val="00EA1F17"/>
    <w:rsid w:val="015836E2"/>
    <w:rsid w:val="039616E3"/>
    <w:rsid w:val="03A94373"/>
    <w:rsid w:val="041728DC"/>
    <w:rsid w:val="04C65733"/>
    <w:rsid w:val="064E5119"/>
    <w:rsid w:val="09CC699C"/>
    <w:rsid w:val="0A084CD9"/>
    <w:rsid w:val="0A8721A0"/>
    <w:rsid w:val="0B7B2128"/>
    <w:rsid w:val="0B985CD3"/>
    <w:rsid w:val="0E9816ED"/>
    <w:rsid w:val="0FB66693"/>
    <w:rsid w:val="0FCA1F2E"/>
    <w:rsid w:val="10396E71"/>
    <w:rsid w:val="10695920"/>
    <w:rsid w:val="10B628CD"/>
    <w:rsid w:val="11DE52CB"/>
    <w:rsid w:val="12C542A7"/>
    <w:rsid w:val="14BC50BA"/>
    <w:rsid w:val="150A3847"/>
    <w:rsid w:val="16290C1F"/>
    <w:rsid w:val="16CD2D15"/>
    <w:rsid w:val="16E836BE"/>
    <w:rsid w:val="18CB25AE"/>
    <w:rsid w:val="18E10F33"/>
    <w:rsid w:val="198F6FDC"/>
    <w:rsid w:val="19AD1230"/>
    <w:rsid w:val="1A0C35CC"/>
    <w:rsid w:val="1A2634A4"/>
    <w:rsid w:val="1AAC5804"/>
    <w:rsid w:val="1B12604F"/>
    <w:rsid w:val="1B3700A7"/>
    <w:rsid w:val="1B6513E2"/>
    <w:rsid w:val="1C9920D7"/>
    <w:rsid w:val="1D916C98"/>
    <w:rsid w:val="1D9E327C"/>
    <w:rsid w:val="1E4264C3"/>
    <w:rsid w:val="1F99359D"/>
    <w:rsid w:val="21190D9C"/>
    <w:rsid w:val="2163678E"/>
    <w:rsid w:val="227445BF"/>
    <w:rsid w:val="227E3482"/>
    <w:rsid w:val="23A44173"/>
    <w:rsid w:val="23C4301C"/>
    <w:rsid w:val="24552655"/>
    <w:rsid w:val="26E50D2A"/>
    <w:rsid w:val="2741574C"/>
    <w:rsid w:val="28823364"/>
    <w:rsid w:val="28A06C52"/>
    <w:rsid w:val="2A1332D8"/>
    <w:rsid w:val="2AFB189F"/>
    <w:rsid w:val="2BA90A4B"/>
    <w:rsid w:val="2C765212"/>
    <w:rsid w:val="2D22562B"/>
    <w:rsid w:val="2DA15121"/>
    <w:rsid w:val="2E9A4916"/>
    <w:rsid w:val="2F691E3F"/>
    <w:rsid w:val="30B56AE1"/>
    <w:rsid w:val="31FA5051"/>
    <w:rsid w:val="3221696D"/>
    <w:rsid w:val="327E6635"/>
    <w:rsid w:val="3516702D"/>
    <w:rsid w:val="356B5D48"/>
    <w:rsid w:val="364F61C0"/>
    <w:rsid w:val="37E601A9"/>
    <w:rsid w:val="382B523D"/>
    <w:rsid w:val="38DB7BD9"/>
    <w:rsid w:val="39203FFE"/>
    <w:rsid w:val="3A7A2C02"/>
    <w:rsid w:val="3AD501CB"/>
    <w:rsid w:val="3BA355E6"/>
    <w:rsid w:val="3C8E5846"/>
    <w:rsid w:val="3D0B2EA4"/>
    <w:rsid w:val="3E9004F3"/>
    <w:rsid w:val="3EE84C2D"/>
    <w:rsid w:val="41CD3817"/>
    <w:rsid w:val="42220C2D"/>
    <w:rsid w:val="43315BEC"/>
    <w:rsid w:val="43AD1C7C"/>
    <w:rsid w:val="44912C24"/>
    <w:rsid w:val="457E45CB"/>
    <w:rsid w:val="46190056"/>
    <w:rsid w:val="46566B3C"/>
    <w:rsid w:val="46687EE4"/>
    <w:rsid w:val="47C03328"/>
    <w:rsid w:val="497231C3"/>
    <w:rsid w:val="4BB538AD"/>
    <w:rsid w:val="4C122427"/>
    <w:rsid w:val="4C126CDE"/>
    <w:rsid w:val="4C5B7269"/>
    <w:rsid w:val="4C71420D"/>
    <w:rsid w:val="4D440E1C"/>
    <w:rsid w:val="4D587C7A"/>
    <w:rsid w:val="4DC33073"/>
    <w:rsid w:val="4E3F7559"/>
    <w:rsid w:val="4ECE0172"/>
    <w:rsid w:val="51516E47"/>
    <w:rsid w:val="53BF2F3D"/>
    <w:rsid w:val="53C02053"/>
    <w:rsid w:val="54C139F0"/>
    <w:rsid w:val="553904D7"/>
    <w:rsid w:val="567315FF"/>
    <w:rsid w:val="5A0C5FF2"/>
    <w:rsid w:val="5A5F61C3"/>
    <w:rsid w:val="5B4A4B48"/>
    <w:rsid w:val="5C5D5C4B"/>
    <w:rsid w:val="5CF93C67"/>
    <w:rsid w:val="5E764C6D"/>
    <w:rsid w:val="5EC4476B"/>
    <w:rsid w:val="5F001631"/>
    <w:rsid w:val="5F363EFD"/>
    <w:rsid w:val="603B318E"/>
    <w:rsid w:val="614B7D95"/>
    <w:rsid w:val="64515E2E"/>
    <w:rsid w:val="64D61FAB"/>
    <w:rsid w:val="672F0B7D"/>
    <w:rsid w:val="6C5F1BE1"/>
    <w:rsid w:val="6E790060"/>
    <w:rsid w:val="6FFD6B20"/>
    <w:rsid w:val="70650CB0"/>
    <w:rsid w:val="70BA1B27"/>
    <w:rsid w:val="72823692"/>
    <w:rsid w:val="7538418A"/>
    <w:rsid w:val="77115BCE"/>
    <w:rsid w:val="786A7F85"/>
    <w:rsid w:val="78D1724B"/>
    <w:rsid w:val="791505B4"/>
    <w:rsid w:val="7A4D543F"/>
    <w:rsid w:val="7A7C6A82"/>
    <w:rsid w:val="7D1F1FB8"/>
    <w:rsid w:val="7DBC1604"/>
    <w:rsid w:val="7EC1633B"/>
    <w:rsid w:val="7EE10B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unhideWhenUsed/>
    <w:qFormat/>
    <w:uiPriority w:val="9"/>
    <w:pPr>
      <w:keepNext/>
      <w:keepLines/>
      <w:spacing w:before="260" w:after="260" w:line="416" w:lineRule="auto"/>
      <w:outlineLvl w:val="2"/>
    </w:pPr>
    <w:rPr>
      <w:b/>
      <w:bCs/>
      <w:sz w:val="32"/>
      <w:szCs w:val="32"/>
    </w:rPr>
  </w:style>
  <w:style w:type="paragraph" w:styleId="4">
    <w:name w:val="heading 4"/>
    <w:basedOn w:val="1"/>
    <w:next w:val="1"/>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rFonts w:ascii="Verdana" w:hAnsi="Verdana"/>
      <w:szCs w:val="20"/>
    </w:rPr>
  </w:style>
  <w:style w:type="paragraph" w:styleId="6">
    <w:name w:val="annotation text"/>
    <w:basedOn w:val="1"/>
    <w:qFormat/>
    <w:uiPriority w:val="0"/>
    <w:pPr>
      <w:jc w:val="left"/>
    </w:pPr>
  </w:style>
  <w:style w:type="paragraph" w:styleId="7">
    <w:name w:val="Body Text"/>
    <w:basedOn w:val="1"/>
    <w:qFormat/>
    <w:uiPriority w:val="0"/>
    <w:pPr>
      <w:spacing w:after="120"/>
    </w:pPr>
  </w:style>
  <w:style w:type="paragraph" w:styleId="8">
    <w:name w:val="footer"/>
    <w:basedOn w:val="1"/>
    <w:link w:val="19"/>
    <w:qFormat/>
    <w:uiPriority w:val="0"/>
    <w:pPr>
      <w:tabs>
        <w:tab w:val="center" w:pos="4153"/>
        <w:tab w:val="right" w:pos="8306"/>
      </w:tabs>
      <w:snapToGrid w:val="0"/>
      <w:jc w:val="left"/>
    </w:pPr>
    <w:rPr>
      <w:sz w:val="18"/>
      <w:szCs w:val="18"/>
    </w:rPr>
  </w:style>
  <w:style w:type="paragraph" w:styleId="9">
    <w:name w:val="header"/>
    <w:basedOn w:val="1"/>
    <w:link w:val="18"/>
    <w:qFormat/>
    <w:uiPriority w:val="0"/>
    <w:pPr>
      <w:tabs>
        <w:tab w:val="center" w:pos="4153"/>
        <w:tab w:val="right" w:pos="8306"/>
      </w:tabs>
      <w:snapToGrid w:val="0"/>
      <w:jc w:val="center"/>
    </w:pPr>
    <w:rPr>
      <w:sz w:val="18"/>
      <w:szCs w:val="18"/>
    </w:rPr>
  </w:style>
  <w:style w:type="paragraph" w:styleId="10">
    <w:name w:val="Message Header"/>
    <w:basedOn w:val="1"/>
    <w:next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qFormat/>
    <w:uiPriority w:val="0"/>
    <w:pPr>
      <w:spacing w:beforeAutospacing="1" w:afterAutospacing="1"/>
      <w:jc w:val="left"/>
    </w:pPr>
    <w:rPr>
      <w:rFonts w:cs="Times New Roman"/>
      <w:kern w:val="0"/>
      <w:sz w:val="24"/>
    </w:rPr>
  </w:style>
  <w:style w:type="character" w:customStyle="1" w:styleId="14">
    <w:name w:val="标题4 Char"/>
    <w:link w:val="15"/>
    <w:qFormat/>
    <w:locked/>
    <w:uiPriority w:val="0"/>
    <w:rPr>
      <w:rFonts w:eastAsia="宋体"/>
      <w:kern w:val="0"/>
      <w:sz w:val="36"/>
      <w:szCs w:val="20"/>
    </w:rPr>
  </w:style>
  <w:style w:type="paragraph" w:customStyle="1" w:styleId="15">
    <w:name w:val="标题4"/>
    <w:basedOn w:val="4"/>
    <w:link w:val="14"/>
    <w:qFormat/>
    <w:uiPriority w:val="0"/>
    <w:rPr>
      <w:rFonts w:eastAsia="宋体"/>
      <w:kern w:val="0"/>
      <w:sz w:val="36"/>
      <w:szCs w:val="20"/>
    </w:rPr>
  </w:style>
  <w:style w:type="paragraph" w:customStyle="1" w:styleId="16">
    <w:name w:val="样式 标题 1 + 首行缩进:  2 字符"/>
    <w:next w:val="1"/>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qFormat/>
    <w:uiPriority w:val="0"/>
    <w:rPr>
      <w:rFonts w:asciiTheme="minorHAnsi" w:hAnsiTheme="minorHAnsi" w:eastAsiaTheme="minorEastAsia" w:cstheme="minorBidi"/>
      <w:kern w:val="2"/>
      <w:sz w:val="18"/>
      <w:szCs w:val="18"/>
    </w:rPr>
  </w:style>
  <w:style w:type="character" w:customStyle="1" w:styleId="19">
    <w:name w:val="页脚 字符"/>
    <w:basedOn w:val="13"/>
    <w:link w:val="8"/>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6872</Words>
  <Characters>7322</Characters>
  <Lines>59</Lines>
  <Paragraphs>16</Paragraphs>
  <TotalTime>3</TotalTime>
  <ScaleCrop>false</ScaleCrop>
  <LinksUpToDate>false</LinksUpToDate>
  <CharactersWithSpaces>7826</CharactersWithSpaces>
  <Application>WPS Office_12.1.0.26936_F1E327BC-269C-435d-A152-05C5408002CA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liguan</cp:lastModifiedBy>
  <dcterms:modified xsi:type="dcterms:W3CDTF">2026-08-21T08:05:18Z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2052-12.1.0.26936</vt:lpwstr>
  </property>
  <property fmtid="{D5CDD505-2E9C-101B-9397-08002B2CF9AE}" pid="3" name="ICV">
    <vt:lpwstr>B499B1C1DFC4451C81C9042C869A7060_13</vt:lpwstr>
  </property>
  <property fmtid="{D5CDD505-2E9C-101B-9397-08002B2CF9AE}" pid="4" name="KSOTemplateDocerSaveRecord">
    <vt:lpwstr>eyJoZGlkIjoiYzJhNzY0NmM1NWQwNGNiMzY4MzEyNzljMTc5Y2M5OWQiLCJ1c2VySWQiOiI5MDEzMDExMDYifQ==</vt:lpwstr>
  </property>
</Properties>
</file>