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AB877B">
      <w:pPr>
        <w:keepNext w:val="0"/>
        <w:keepLines w:val="0"/>
        <w:kinsoku/>
        <w:wordWrap/>
        <w:overflowPunct/>
        <w:topLinePunct w:val="0"/>
        <w:bidi w:val="0"/>
        <w:spacing w:line="560" w:lineRule="exact"/>
        <w:ind w:firstLine="883" w:firstLineChars="200"/>
        <w:jc w:val="center"/>
        <w:textAlignment w:val="auto"/>
        <w:rPr>
          <w:rFonts w:hint="eastAsia" w:ascii="宋体" w:hAnsi="宋体" w:eastAsia="宋体" w:cs="Times New Roman"/>
          <w:b/>
          <w:bCs/>
          <w:color w:val="auto"/>
          <w:sz w:val="44"/>
          <w:szCs w:val="44"/>
          <w:highlight w:val="none"/>
          <w:lang w:eastAsia="zh-CN"/>
        </w:rPr>
      </w:pPr>
      <w:r>
        <w:rPr>
          <w:rFonts w:hint="eastAsia" w:ascii="宋体" w:hAnsi="宋体" w:eastAsia="宋体" w:cs="Times New Roman"/>
          <w:b/>
          <w:bCs/>
          <w:color w:val="auto"/>
          <w:sz w:val="44"/>
          <w:szCs w:val="44"/>
          <w:highlight w:val="none"/>
          <w:lang w:val="en-US" w:eastAsia="zh-CN"/>
        </w:rPr>
        <w:t>碎石</w:t>
      </w:r>
      <w:r>
        <w:rPr>
          <w:rFonts w:hint="eastAsia" w:ascii="宋体" w:hAnsi="宋体" w:eastAsia="宋体" w:cs="Times New Roman"/>
          <w:b/>
          <w:bCs/>
          <w:color w:val="auto"/>
          <w:sz w:val="44"/>
          <w:szCs w:val="44"/>
          <w:highlight w:val="none"/>
        </w:rPr>
        <w:t>骨料购销合同</w:t>
      </w:r>
      <w:r>
        <w:rPr>
          <w:rFonts w:hint="eastAsia" w:ascii="宋体" w:hAnsi="宋体" w:eastAsia="宋体" w:cs="Times New Roman"/>
          <w:b/>
          <w:bCs/>
          <w:color w:val="auto"/>
          <w:sz w:val="44"/>
          <w:szCs w:val="44"/>
          <w:highlight w:val="none"/>
          <w:lang w:eastAsia="zh-CN"/>
        </w:rPr>
        <w:t>（</w:t>
      </w:r>
      <w:r>
        <w:rPr>
          <w:rFonts w:hint="eastAsia" w:ascii="宋体" w:hAnsi="宋体" w:eastAsia="宋体" w:cs="Times New Roman"/>
          <w:b/>
          <w:bCs/>
          <w:color w:val="auto"/>
          <w:sz w:val="44"/>
          <w:szCs w:val="44"/>
          <w:highlight w:val="none"/>
          <w:lang w:val="en-US" w:eastAsia="zh-CN"/>
        </w:rPr>
        <w:t>预售</w:t>
      </w:r>
      <w:r>
        <w:rPr>
          <w:rFonts w:hint="eastAsia" w:ascii="宋体" w:hAnsi="宋体" w:eastAsia="宋体" w:cs="Times New Roman"/>
          <w:b/>
          <w:bCs/>
          <w:color w:val="auto"/>
          <w:sz w:val="44"/>
          <w:szCs w:val="44"/>
          <w:highlight w:val="none"/>
          <w:lang w:eastAsia="zh-CN"/>
        </w:rPr>
        <w:t>）</w:t>
      </w:r>
    </w:p>
    <w:p w14:paraId="4569852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合同编号： </w:t>
      </w:r>
    </w:p>
    <w:p w14:paraId="2F7440F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ascii="宋体" w:hAnsi="宋体" w:eastAsia="宋体" w:cs="Times New Roman"/>
          <w:color w:val="auto"/>
          <w:sz w:val="21"/>
          <w:szCs w:val="21"/>
          <w:highlight w:val="none"/>
        </w:rPr>
      </w:pPr>
      <w:r>
        <w:rPr>
          <w:rFonts w:hint="eastAsia" w:ascii="仿宋_GB2312" w:hAnsi="仿宋_GB2312" w:eastAsia="仿宋_GB2312" w:cs="仿宋_GB2312"/>
          <w:color w:val="auto"/>
          <w:sz w:val="32"/>
          <w:szCs w:val="32"/>
          <w:highlight w:val="none"/>
        </w:rPr>
        <w:t>签订地点：</w:t>
      </w:r>
    </w:p>
    <w:p w14:paraId="07F00151">
      <w:pPr>
        <w:keepNext w:val="0"/>
        <w:keepLines w:val="0"/>
        <w:pageBreakBefore w:val="0"/>
        <w:widowControl w:val="0"/>
        <w:kinsoku/>
        <w:wordWrap/>
        <w:overflowPunct/>
        <w:topLinePunct w:val="0"/>
        <w:autoSpaceDE/>
        <w:autoSpaceDN/>
        <w:bidi w:val="0"/>
        <w:adjustRightInd w:val="0"/>
        <w:snapToGrid w:val="0"/>
        <w:spacing w:line="560" w:lineRule="exact"/>
        <w:ind w:left="636" w:leftChars="212" w:firstLine="0" w:firstLineChars="0"/>
        <w:jc w:val="left"/>
        <w:textAlignment w:val="auto"/>
        <w:rPr>
          <w:rFonts w:hint="default" w:ascii="仿宋_GB2312" w:hAnsi="仿宋_GB2312" w:eastAsia="仿宋_GB2312" w:cs="仿宋_GB2312"/>
          <w:color w:val="auto"/>
          <w:sz w:val="32"/>
          <w:szCs w:val="32"/>
          <w:highlight w:val="none"/>
          <w:u w:val="single"/>
          <w:lang w:val="en-US" w:eastAsia="zh-CN"/>
        </w:rPr>
      </w:pPr>
      <w:r>
        <w:rPr>
          <w:rFonts w:hint="eastAsia" w:ascii="仿宋_GB2312" w:hAnsi="仿宋_GB2312" w:eastAsia="仿宋_GB2312" w:cs="仿宋_GB2312"/>
          <w:b/>
          <w:bCs/>
          <w:color w:val="auto"/>
          <w:sz w:val="32"/>
          <w:szCs w:val="32"/>
          <w:highlight w:val="none"/>
        </w:rPr>
        <w:t>买  方</w:t>
      </w:r>
      <w:r>
        <w:rPr>
          <w:rFonts w:hint="eastAsia" w:ascii="仿宋_GB2312" w:hAnsi="仿宋_GB2312" w:cs="仿宋_GB2312"/>
          <w:b/>
          <w:bCs/>
          <w:color w:val="auto"/>
          <w:sz w:val="32"/>
          <w:szCs w:val="32"/>
          <w:highlight w:val="none"/>
          <w:lang w:eastAsia="zh-CN"/>
        </w:rPr>
        <w:t>（</w:t>
      </w:r>
      <w:r>
        <w:rPr>
          <w:rFonts w:hint="eastAsia" w:ascii="仿宋_GB2312" w:hAnsi="仿宋_GB2312" w:cs="仿宋_GB2312"/>
          <w:b/>
          <w:bCs/>
          <w:color w:val="auto"/>
          <w:sz w:val="32"/>
          <w:szCs w:val="32"/>
          <w:highlight w:val="none"/>
          <w:lang w:val="en-US" w:eastAsia="zh-CN"/>
        </w:rPr>
        <w:t>甲方</w:t>
      </w:r>
      <w:r>
        <w:rPr>
          <w:rFonts w:hint="eastAsia" w:ascii="仿宋_GB2312" w:hAnsi="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rPr>
        <w:t>：</w:t>
      </w:r>
      <w:r>
        <w:rPr>
          <w:rFonts w:hint="eastAsia" w:ascii="仿宋_GB2312" w:hAnsi="仿宋_GB2312" w:cs="仿宋_GB2312"/>
          <w:b/>
          <w:bCs/>
          <w:color w:val="auto"/>
          <w:sz w:val="32"/>
          <w:szCs w:val="32"/>
          <w:highlight w:val="none"/>
          <w:u w:val="single"/>
          <w:lang w:val="en-US" w:eastAsia="zh-CN"/>
        </w:rPr>
        <w:t xml:space="preserve">                                            </w:t>
      </w:r>
      <w:r>
        <w:rPr>
          <w:rFonts w:hint="eastAsia" w:ascii="仿宋_GB2312" w:hAnsi="仿宋_GB2312" w:cs="仿宋_GB2312"/>
          <w:b/>
          <w:bCs/>
          <w:color w:val="auto"/>
          <w:sz w:val="32"/>
          <w:szCs w:val="32"/>
          <w:highlight w:val="none"/>
          <w:lang w:val="en-US" w:eastAsia="zh-CN"/>
        </w:rPr>
        <w:t xml:space="preserve">  </w:t>
      </w:r>
      <w:r>
        <w:rPr>
          <w:rFonts w:hint="eastAsia" w:ascii="仿宋_GB2312" w:hAnsi="仿宋_GB2312" w:cs="仿宋_GB2312"/>
          <w:color w:val="auto"/>
          <w:sz w:val="32"/>
          <w:szCs w:val="32"/>
          <w:highlight w:val="none"/>
          <w:u w:val="none"/>
          <w:lang w:eastAsia="zh-CN"/>
        </w:rPr>
        <w:t xml:space="preserve"> </w:t>
      </w:r>
      <w:r>
        <w:rPr>
          <w:rFonts w:hint="eastAsia" w:ascii="仿宋_GB2312" w:hAnsi="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rPr>
        <w:t>地  址：</w:t>
      </w:r>
      <w:r>
        <w:rPr>
          <w:rFonts w:hint="eastAsia" w:ascii="仿宋_GB2312" w:hAnsi="仿宋_GB2312" w:eastAsia="仿宋_GB2312" w:cs="仿宋_GB2312"/>
          <w:b w:val="0"/>
          <w:bCs w:val="0"/>
          <w:color w:val="auto"/>
          <w:sz w:val="32"/>
          <w:szCs w:val="32"/>
          <w:highlight w:val="none"/>
          <w:u w:val="single"/>
        </w:rPr>
        <w:t> </w:t>
      </w:r>
      <w:r>
        <w:rPr>
          <w:rFonts w:hint="eastAsia" w:ascii="仿宋_GB2312" w:hAnsi="仿宋_GB2312" w:cs="仿宋_GB2312"/>
          <w:b w:val="0"/>
          <w:bCs w:val="0"/>
          <w:color w:val="auto"/>
          <w:sz w:val="32"/>
          <w:szCs w:val="32"/>
          <w:highlight w:val="none"/>
          <w:u w:val="single"/>
          <w:lang w:val="en-US" w:eastAsia="zh-CN"/>
        </w:rPr>
        <w:t xml:space="preserve">                                            </w:t>
      </w:r>
      <w:r>
        <w:rPr>
          <w:rFonts w:hint="eastAsia" w:ascii="仿宋_GB2312" w:hAnsi="仿宋_GB2312" w:cs="仿宋_GB2312"/>
          <w:color w:val="auto"/>
          <w:sz w:val="32"/>
          <w:szCs w:val="32"/>
          <w:highlight w:val="none"/>
          <w:u w:val="single"/>
          <w:lang w:val="en-US" w:eastAsia="zh-CN"/>
        </w:rPr>
        <w:t xml:space="preserve"> </w:t>
      </w:r>
    </w:p>
    <w:p w14:paraId="2324361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电  话：</w:t>
      </w:r>
      <w:r>
        <w:rPr>
          <w:rFonts w:hint="eastAsia" w:ascii="仿宋_GB2312" w:hAnsi="仿宋_GB2312" w:cs="仿宋_GB2312"/>
          <w:color w:val="auto"/>
          <w:sz w:val="32"/>
          <w:szCs w:val="32"/>
          <w:highlight w:val="none"/>
          <w:u w:val="single"/>
          <w:lang w:val="en-US" w:eastAsia="zh-CN"/>
        </w:rPr>
        <w:t xml:space="preserve">                        </w:t>
      </w:r>
    </w:p>
    <w:p w14:paraId="66C1A874">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left"/>
        <w:textAlignment w:val="auto"/>
        <w:rPr>
          <w:rFonts w:hint="default" w:ascii="仿宋_GB2312" w:hAnsi="仿宋_GB2312" w:eastAsia="仿宋_GB2312" w:cs="仿宋_GB2312"/>
          <w:color w:val="auto"/>
          <w:sz w:val="32"/>
          <w:szCs w:val="32"/>
          <w:highlight w:val="none"/>
          <w:u w:val="single"/>
          <w:lang w:val="en-US"/>
        </w:rPr>
      </w:pPr>
      <w:r>
        <w:rPr>
          <w:rFonts w:hint="eastAsia" w:ascii="仿宋_GB2312" w:hAnsi="仿宋_GB2312" w:eastAsia="仿宋_GB2312" w:cs="仿宋_GB2312"/>
          <w:b/>
          <w:bCs/>
          <w:color w:val="auto"/>
          <w:sz w:val="32"/>
          <w:szCs w:val="32"/>
          <w:highlight w:val="none"/>
        </w:rPr>
        <w:t>卖  方</w:t>
      </w:r>
      <w:r>
        <w:rPr>
          <w:rFonts w:hint="eastAsia" w:ascii="仿宋_GB2312" w:hAnsi="仿宋_GB2312" w:cs="仿宋_GB2312"/>
          <w:b/>
          <w:bCs/>
          <w:color w:val="auto"/>
          <w:sz w:val="32"/>
          <w:szCs w:val="32"/>
          <w:highlight w:val="none"/>
          <w:lang w:eastAsia="zh-CN"/>
        </w:rPr>
        <w:t>（</w:t>
      </w:r>
      <w:r>
        <w:rPr>
          <w:rFonts w:hint="eastAsia" w:ascii="仿宋_GB2312" w:hAnsi="仿宋_GB2312" w:cs="仿宋_GB2312"/>
          <w:b/>
          <w:bCs/>
          <w:color w:val="auto"/>
          <w:sz w:val="32"/>
          <w:szCs w:val="32"/>
          <w:highlight w:val="none"/>
          <w:lang w:val="en-US" w:eastAsia="zh-CN"/>
        </w:rPr>
        <w:t>乙方</w:t>
      </w:r>
      <w:r>
        <w:rPr>
          <w:rFonts w:hint="eastAsia" w:ascii="仿宋_GB2312" w:hAnsi="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rPr>
        <w:t>：</w:t>
      </w:r>
      <w:r>
        <w:rPr>
          <w:rFonts w:hint="eastAsia" w:ascii="仿宋_GB2312" w:hAnsi="仿宋_GB2312" w:cs="仿宋_GB2312"/>
          <w:color w:val="auto"/>
          <w:sz w:val="32"/>
          <w:szCs w:val="32"/>
          <w:highlight w:val="none"/>
          <w:u w:val="single"/>
          <w:lang w:val="en-US" w:eastAsia="zh-CN"/>
        </w:rPr>
        <w:t xml:space="preserve">海垦（儋州）新型环保建材有限公司               </w:t>
      </w:r>
    </w:p>
    <w:p w14:paraId="7115623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default" w:ascii="仿宋_GB2312" w:hAnsi="仿宋_GB2312" w:cs="仿宋_GB2312"/>
          <w:color w:val="auto"/>
          <w:sz w:val="32"/>
          <w:szCs w:val="32"/>
          <w:highlight w:val="none"/>
          <w:u w:val="single"/>
          <w:lang w:val="en-US" w:eastAsia="zh-CN"/>
        </w:rPr>
      </w:pPr>
      <w:r>
        <w:rPr>
          <w:rFonts w:hint="eastAsia" w:ascii="仿宋_GB2312" w:hAnsi="仿宋_GB2312" w:eastAsia="仿宋_GB2312" w:cs="仿宋_GB2312"/>
          <w:color w:val="auto"/>
          <w:sz w:val="32"/>
          <w:szCs w:val="32"/>
          <w:highlight w:val="none"/>
        </w:rPr>
        <w:t>地  址：</w:t>
      </w:r>
      <w:r>
        <w:rPr>
          <w:rFonts w:hint="eastAsia" w:ascii="仿宋_GB2312" w:hAnsi="仿宋_GB2312" w:eastAsia="仿宋_GB2312" w:cs="仿宋_GB2312"/>
          <w:color w:val="auto"/>
          <w:sz w:val="32"/>
          <w:szCs w:val="32"/>
          <w:highlight w:val="none"/>
          <w:u w:val="single"/>
        </w:rPr>
        <w:t>海南省儋州市那大镇兴隆路A5号</w:t>
      </w:r>
      <w:r>
        <w:rPr>
          <w:rFonts w:hint="eastAsia" w:ascii="仿宋_GB2312" w:hAnsi="仿宋_GB2312" w:cs="仿宋_GB2312"/>
          <w:b/>
          <w:bCs/>
          <w:color w:val="auto"/>
          <w:sz w:val="32"/>
          <w:szCs w:val="32"/>
          <w:highlight w:val="none"/>
          <w:u w:val="single"/>
          <w:lang w:val="en-US" w:eastAsia="zh-CN"/>
        </w:rPr>
        <w:t xml:space="preserve">    </w:t>
      </w:r>
    </w:p>
    <w:p w14:paraId="6997A22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default" w:ascii="仿宋_GB2312" w:hAnsi="仿宋_GB2312" w:eastAsia="仿宋_GB2312" w:cs="仿宋_GB2312"/>
          <w:color w:val="auto"/>
          <w:sz w:val="32"/>
          <w:szCs w:val="32"/>
          <w:highlight w:val="none"/>
          <w:u w:val="single"/>
          <w:lang w:val="en-US"/>
        </w:rPr>
      </w:pPr>
      <w:r>
        <w:rPr>
          <w:rFonts w:hint="eastAsia" w:ascii="仿宋_GB2312" w:hAnsi="仿宋_GB2312" w:eastAsia="仿宋_GB2312" w:cs="仿宋_GB2312"/>
          <w:color w:val="auto"/>
          <w:sz w:val="32"/>
          <w:szCs w:val="32"/>
          <w:highlight w:val="none"/>
        </w:rPr>
        <w:t>电  话：</w:t>
      </w:r>
      <w:r>
        <w:rPr>
          <w:rFonts w:hint="eastAsia" w:ascii="仿宋_GB2312" w:hAnsi="仿宋_GB2312" w:eastAsia="仿宋_GB2312" w:cs="仿宋_GB2312"/>
          <w:color w:val="auto"/>
          <w:sz w:val="32"/>
          <w:szCs w:val="32"/>
          <w:highlight w:val="none"/>
          <w:u w:val="single"/>
        </w:rPr>
        <w:t>0898-66623215</w:t>
      </w:r>
    </w:p>
    <w:p w14:paraId="137D01FC">
      <w:pPr>
        <w:keepNext w:val="0"/>
        <w:keepLines w:val="0"/>
        <w:pageBreakBefore w:val="0"/>
        <w:kinsoku/>
        <w:wordWrap/>
        <w:overflowPunct/>
        <w:topLinePunct w:val="0"/>
        <w:bidi w:val="0"/>
        <w:adjustRightInd w:val="0"/>
        <w:snapToGrid w:val="0"/>
        <w:spacing w:line="560" w:lineRule="exact"/>
        <w:ind w:firstLine="420" w:firstLineChars="200"/>
        <w:jc w:val="left"/>
        <w:textAlignment w:val="auto"/>
        <w:rPr>
          <w:rFonts w:ascii="宋体" w:hAnsi="宋体" w:eastAsia="宋体" w:cs="Times New Roman"/>
          <w:color w:val="auto"/>
          <w:sz w:val="21"/>
          <w:szCs w:val="21"/>
          <w:highlight w:val="none"/>
          <w:u w:val="single"/>
        </w:rPr>
      </w:pPr>
    </w:p>
    <w:p w14:paraId="00E4DD7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甲、乙双方根据《中华人民共和国民法典》及其他有关法律、法规的规定，本着诚实信用、互惠互利的商业合作精神，在平等自愿、协商一致的基础上，就</w:t>
      </w:r>
      <w:r>
        <w:rPr>
          <w:rFonts w:hint="eastAsia" w:ascii="仿宋_GB2312" w:hAnsi="仿宋_GB2312" w:cs="仿宋_GB2312"/>
          <w:color w:val="auto"/>
          <w:sz w:val="32"/>
          <w:szCs w:val="32"/>
          <w:highlight w:val="none"/>
          <w:lang w:val="en-US" w:eastAsia="zh-CN"/>
        </w:rPr>
        <w:t>儋州市西培农场端门岭矿区（二期）建筑用花岗岩矿10万吨碎石</w:t>
      </w:r>
      <w:r>
        <w:rPr>
          <w:rFonts w:hint="eastAsia" w:ascii="仿宋_GB2312" w:hAnsi="仿宋_GB2312" w:eastAsia="仿宋_GB2312" w:cs="仿宋_GB2312"/>
          <w:color w:val="auto"/>
          <w:sz w:val="32"/>
          <w:szCs w:val="32"/>
          <w:highlight w:val="none"/>
        </w:rPr>
        <w:t>购销事宜</w:t>
      </w:r>
      <w:r>
        <w:rPr>
          <w:rFonts w:hint="eastAsia" w:ascii="仿宋_GB2312" w:hAnsi="仿宋_GB2312" w:cs="仿宋_GB2312"/>
          <w:color w:val="auto"/>
          <w:sz w:val="32"/>
          <w:szCs w:val="32"/>
          <w:highlight w:val="none"/>
          <w:lang w:val="en-US" w:eastAsia="zh-CN"/>
        </w:rPr>
        <w:t>协商一致</w:t>
      </w:r>
      <w:r>
        <w:rPr>
          <w:rFonts w:hint="eastAsia" w:ascii="仿宋_GB2312" w:hAnsi="仿宋_GB2312" w:eastAsia="仿宋_GB2312" w:cs="仿宋_GB2312"/>
          <w:color w:val="auto"/>
          <w:sz w:val="32"/>
          <w:szCs w:val="32"/>
          <w:highlight w:val="none"/>
        </w:rPr>
        <w:t>签订本合同，以资信守。</w:t>
      </w:r>
    </w:p>
    <w:p w14:paraId="1888FA0A">
      <w:pPr>
        <w:keepNext w:val="0"/>
        <w:keepLines w:val="0"/>
        <w:pageBreakBefore w:val="0"/>
        <w:kinsoku/>
        <w:wordWrap/>
        <w:overflowPunct/>
        <w:topLinePunct w:val="0"/>
        <w:bidi w:val="0"/>
        <w:adjustRightInd w:val="0"/>
        <w:snapToGrid w:val="0"/>
        <w:spacing w:line="560" w:lineRule="exact"/>
        <w:ind w:firstLine="643" w:firstLineChars="200"/>
        <w:jc w:val="left"/>
        <w:textAlignment w:val="auto"/>
        <w:outlineLvl w:val="0"/>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第一条  产品名称、品种规格、价格、数量</w:t>
      </w:r>
    </w:p>
    <w:tbl>
      <w:tblPr>
        <w:tblStyle w:val="4"/>
        <w:tblpPr w:leftFromText="180" w:rightFromText="180" w:vertAnchor="text" w:horzAnchor="page" w:tblpX="294" w:tblpY="1103"/>
        <w:tblOverlap w:val="never"/>
        <w:tblW w:w="105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4"/>
        <w:gridCol w:w="1564"/>
        <w:gridCol w:w="1649"/>
        <w:gridCol w:w="1675"/>
        <w:gridCol w:w="1617"/>
        <w:gridCol w:w="1482"/>
      </w:tblGrid>
      <w:tr w14:paraId="6A9D8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2514" w:type="dxa"/>
            <w:noWrap w:val="0"/>
            <w:vAlign w:val="center"/>
          </w:tcPr>
          <w:p w14:paraId="3EBDA3EB">
            <w:pPr>
              <w:keepNext w:val="0"/>
              <w:keepLines w:val="0"/>
              <w:pageBreakBefore w:val="0"/>
              <w:kinsoku/>
              <w:wordWrap/>
              <w:overflowPunct/>
              <w:topLinePunct w:val="0"/>
              <w:bidi w:val="0"/>
              <w:adjustRightInd w:val="0"/>
              <w:snapToGrid w:val="0"/>
              <w:spacing w:line="560" w:lineRule="exact"/>
              <w:ind w:left="0" w:leftChars="0" w:firstLine="0" w:firstLineChars="0"/>
              <w:jc w:val="center"/>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rPr>
              <w:t>产品名称</w:t>
            </w:r>
            <w:r>
              <w:rPr>
                <w:rFonts w:hint="eastAsia" w:ascii="仿宋_GB2312" w:hAnsi="仿宋_GB2312" w:cs="仿宋_GB2312"/>
                <w:color w:val="auto"/>
                <w:sz w:val="28"/>
                <w:szCs w:val="28"/>
                <w:highlight w:val="none"/>
                <w:lang w:eastAsia="zh-CN"/>
              </w:rPr>
              <w:t>（</w:t>
            </w:r>
            <w:r>
              <w:rPr>
                <w:rFonts w:hint="eastAsia" w:ascii="仿宋_GB2312" w:hAnsi="仿宋_GB2312" w:cs="仿宋_GB2312"/>
                <w:color w:val="auto"/>
                <w:sz w:val="28"/>
                <w:szCs w:val="28"/>
                <w:highlight w:val="none"/>
                <w:lang w:val="en-US" w:eastAsia="zh-CN"/>
              </w:rPr>
              <w:t>品种</w:t>
            </w:r>
            <w:r>
              <w:rPr>
                <w:rFonts w:hint="eastAsia" w:ascii="仿宋_GB2312" w:hAnsi="仿宋_GB2312" w:cs="仿宋_GB2312"/>
                <w:color w:val="auto"/>
                <w:sz w:val="28"/>
                <w:szCs w:val="28"/>
                <w:highlight w:val="none"/>
                <w:lang w:eastAsia="zh-CN"/>
              </w:rPr>
              <w:t>）</w:t>
            </w:r>
          </w:p>
        </w:tc>
        <w:tc>
          <w:tcPr>
            <w:tcW w:w="1564" w:type="dxa"/>
            <w:noWrap w:val="0"/>
            <w:vAlign w:val="center"/>
          </w:tcPr>
          <w:p w14:paraId="125EF41A">
            <w:pPr>
              <w:keepNext w:val="0"/>
              <w:keepLines w:val="0"/>
              <w:pageBreakBefore w:val="0"/>
              <w:kinsoku/>
              <w:wordWrap/>
              <w:overflowPunct/>
              <w:topLinePunct w:val="0"/>
              <w:bidi w:val="0"/>
              <w:adjustRightInd w:val="0"/>
              <w:snapToGrid w:val="0"/>
              <w:spacing w:line="560" w:lineRule="exact"/>
              <w:ind w:left="0" w:leftChars="0" w:firstLine="0" w:firstLineChars="0"/>
              <w:jc w:val="center"/>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产品规格</w:t>
            </w:r>
          </w:p>
        </w:tc>
        <w:tc>
          <w:tcPr>
            <w:tcW w:w="1649" w:type="dxa"/>
            <w:noWrap w:val="0"/>
            <w:vAlign w:val="center"/>
          </w:tcPr>
          <w:p w14:paraId="72E73CA7">
            <w:pPr>
              <w:keepNext w:val="0"/>
              <w:keepLines w:val="0"/>
              <w:pageBreakBefore w:val="0"/>
              <w:kinsoku/>
              <w:wordWrap/>
              <w:overflowPunct/>
              <w:topLinePunct w:val="0"/>
              <w:bidi w:val="0"/>
              <w:adjustRightInd w:val="0"/>
              <w:snapToGrid w:val="0"/>
              <w:spacing w:line="560" w:lineRule="exact"/>
              <w:ind w:left="0" w:leftChars="0" w:firstLine="0" w:firstLineChars="0"/>
              <w:jc w:val="center"/>
              <w:textAlignment w:val="auto"/>
              <w:rPr>
                <w:rFonts w:hint="eastAsia" w:ascii="仿宋_GB2312" w:hAnsi="仿宋_GB2312" w:eastAsia="仿宋_GB2312" w:cs="仿宋_GB2312"/>
                <w:color w:val="auto"/>
                <w:sz w:val="28"/>
                <w:szCs w:val="28"/>
                <w:highlight w:val="none"/>
              </w:rPr>
            </w:pPr>
            <w:r>
              <w:rPr>
                <w:rFonts w:hint="eastAsia" w:ascii="仿宋_GB2312" w:hAnsi="仿宋_GB2312" w:cs="仿宋_GB2312"/>
                <w:color w:val="auto"/>
                <w:sz w:val="28"/>
                <w:szCs w:val="28"/>
                <w:highlight w:val="none"/>
                <w:lang w:val="en-US" w:eastAsia="zh-CN"/>
              </w:rPr>
              <w:t>不</w:t>
            </w:r>
            <w:r>
              <w:rPr>
                <w:rFonts w:hint="eastAsia" w:ascii="仿宋_GB2312" w:hAnsi="仿宋_GB2312" w:eastAsia="仿宋_GB2312" w:cs="仿宋_GB2312"/>
                <w:color w:val="auto"/>
                <w:sz w:val="28"/>
                <w:szCs w:val="28"/>
                <w:highlight w:val="none"/>
              </w:rPr>
              <w:t>含税</w:t>
            </w:r>
            <w:r>
              <w:rPr>
                <w:rFonts w:hint="eastAsia" w:ascii="仿宋_GB2312" w:hAnsi="仿宋_GB2312" w:eastAsia="仿宋_GB2312" w:cs="仿宋_GB2312"/>
                <w:color w:val="auto"/>
                <w:sz w:val="28"/>
                <w:szCs w:val="28"/>
                <w:highlight w:val="none"/>
                <w:lang w:val="en-US" w:eastAsia="zh-CN"/>
              </w:rPr>
              <w:t>预售</w:t>
            </w:r>
            <w:r>
              <w:rPr>
                <w:rFonts w:hint="eastAsia" w:ascii="仿宋_GB2312" w:hAnsi="仿宋_GB2312" w:eastAsia="仿宋_GB2312" w:cs="仿宋_GB2312"/>
                <w:color w:val="auto"/>
                <w:sz w:val="28"/>
                <w:szCs w:val="28"/>
                <w:highlight w:val="none"/>
              </w:rPr>
              <w:t>（元/吨）</w:t>
            </w:r>
          </w:p>
        </w:tc>
        <w:tc>
          <w:tcPr>
            <w:tcW w:w="1675" w:type="dxa"/>
            <w:noWrap w:val="0"/>
            <w:vAlign w:val="center"/>
          </w:tcPr>
          <w:p w14:paraId="22349140">
            <w:pPr>
              <w:keepNext w:val="0"/>
              <w:keepLines w:val="0"/>
              <w:pageBreakBefore w:val="0"/>
              <w:kinsoku/>
              <w:wordWrap/>
              <w:overflowPunct/>
              <w:topLinePunct w:val="0"/>
              <w:bidi w:val="0"/>
              <w:adjustRightInd w:val="0"/>
              <w:snapToGrid w:val="0"/>
              <w:spacing w:line="560" w:lineRule="exact"/>
              <w:ind w:left="0" w:leftChars="0" w:firstLine="0" w:firstLineChars="0"/>
              <w:jc w:val="center"/>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含税</w:t>
            </w:r>
            <w:r>
              <w:rPr>
                <w:rFonts w:hint="eastAsia" w:ascii="仿宋_GB2312" w:hAnsi="仿宋_GB2312" w:eastAsia="仿宋_GB2312" w:cs="仿宋_GB2312"/>
                <w:color w:val="auto"/>
                <w:sz w:val="28"/>
                <w:szCs w:val="28"/>
                <w:highlight w:val="none"/>
                <w:lang w:val="en-US" w:eastAsia="zh-CN"/>
              </w:rPr>
              <w:t>预售</w:t>
            </w:r>
            <w:r>
              <w:rPr>
                <w:rFonts w:hint="eastAsia" w:ascii="仿宋_GB2312" w:hAnsi="仿宋_GB2312" w:eastAsia="仿宋_GB2312" w:cs="仿宋_GB2312"/>
                <w:color w:val="auto"/>
                <w:sz w:val="28"/>
                <w:szCs w:val="28"/>
                <w:highlight w:val="none"/>
              </w:rPr>
              <w:t>（元/吨）</w:t>
            </w:r>
          </w:p>
        </w:tc>
        <w:tc>
          <w:tcPr>
            <w:tcW w:w="1617" w:type="dxa"/>
            <w:noWrap w:val="0"/>
            <w:vAlign w:val="center"/>
          </w:tcPr>
          <w:p w14:paraId="5DEE23C2">
            <w:pPr>
              <w:keepNext w:val="0"/>
              <w:keepLines w:val="0"/>
              <w:pageBreakBefore w:val="0"/>
              <w:kinsoku/>
              <w:wordWrap/>
              <w:overflowPunct/>
              <w:topLinePunct w:val="0"/>
              <w:bidi w:val="0"/>
              <w:adjustRightInd w:val="0"/>
              <w:snapToGrid w:val="0"/>
              <w:spacing w:line="560" w:lineRule="exact"/>
              <w:ind w:left="0" w:leftChars="0" w:firstLine="0" w:firstLineChars="0"/>
              <w:jc w:val="center"/>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交货方式</w:t>
            </w:r>
          </w:p>
        </w:tc>
        <w:tc>
          <w:tcPr>
            <w:tcW w:w="1482" w:type="dxa"/>
            <w:noWrap w:val="0"/>
            <w:vAlign w:val="center"/>
          </w:tcPr>
          <w:p w14:paraId="68B7D258">
            <w:pPr>
              <w:keepNext w:val="0"/>
              <w:keepLines w:val="0"/>
              <w:pageBreakBefore w:val="0"/>
              <w:kinsoku/>
              <w:wordWrap/>
              <w:overflowPunct/>
              <w:topLinePunct w:val="0"/>
              <w:bidi w:val="0"/>
              <w:adjustRightInd w:val="0"/>
              <w:snapToGrid w:val="0"/>
              <w:spacing w:line="560" w:lineRule="exact"/>
              <w:ind w:left="0" w:leftChars="0" w:firstLine="0" w:firstLineChars="0"/>
              <w:jc w:val="center"/>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计划提货数量（吨）</w:t>
            </w:r>
          </w:p>
        </w:tc>
      </w:tr>
      <w:tr w14:paraId="4B7EE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2514" w:type="dxa"/>
            <w:noWrap w:val="0"/>
            <w:vAlign w:val="center"/>
          </w:tcPr>
          <w:p w14:paraId="3B66E3C1">
            <w:pPr>
              <w:keepNext w:val="0"/>
              <w:keepLines w:val="0"/>
              <w:pageBreakBefore w:val="0"/>
              <w:kinsoku/>
              <w:wordWrap/>
              <w:overflowPunct/>
              <w:topLinePunct w:val="0"/>
              <w:bidi w:val="0"/>
              <w:adjustRightInd w:val="0"/>
              <w:snapToGrid w:val="0"/>
              <w:spacing w:line="560" w:lineRule="exact"/>
              <w:ind w:left="0" w:leftChars="0" w:firstLine="0" w:firstLineChars="0"/>
              <w:jc w:val="center"/>
              <w:textAlignment w:val="auto"/>
              <w:rPr>
                <w:rFonts w:hint="eastAsia" w:ascii="仿宋_GB2312" w:hAnsi="仿宋_GB2312" w:eastAsia="仿宋_GB2312" w:cs="仿宋_GB2312"/>
                <w:color w:val="auto"/>
                <w:sz w:val="28"/>
                <w:szCs w:val="28"/>
                <w:highlight w:val="none"/>
              </w:rPr>
            </w:pPr>
            <w:r>
              <w:rPr>
                <w:rFonts w:hint="eastAsia" w:ascii="仿宋_GB2312" w:hAnsi="仿宋_GB2312" w:cs="仿宋_GB2312"/>
                <w:color w:val="auto"/>
                <w:sz w:val="28"/>
                <w:szCs w:val="28"/>
                <w:highlight w:val="none"/>
                <w:lang w:val="en-US" w:eastAsia="zh-CN"/>
              </w:rPr>
              <w:t>碎</w:t>
            </w:r>
            <w:r>
              <w:rPr>
                <w:rFonts w:hint="eastAsia" w:ascii="仿宋_GB2312" w:hAnsi="仿宋_GB2312" w:eastAsia="仿宋_GB2312" w:cs="仿宋_GB2312"/>
                <w:color w:val="auto"/>
                <w:sz w:val="28"/>
                <w:szCs w:val="28"/>
                <w:highlight w:val="none"/>
              </w:rPr>
              <w:t>石（花岗岩）</w:t>
            </w:r>
          </w:p>
        </w:tc>
        <w:tc>
          <w:tcPr>
            <w:tcW w:w="1564" w:type="dxa"/>
            <w:noWrap w:val="0"/>
            <w:vAlign w:val="center"/>
          </w:tcPr>
          <w:p w14:paraId="1BADA5FB">
            <w:pPr>
              <w:keepNext w:val="0"/>
              <w:keepLines w:val="0"/>
              <w:pageBreakBefore w:val="0"/>
              <w:kinsoku/>
              <w:wordWrap/>
              <w:overflowPunct/>
              <w:topLinePunct w:val="0"/>
              <w:bidi w:val="0"/>
              <w:adjustRightInd w:val="0"/>
              <w:snapToGrid w:val="0"/>
              <w:spacing w:line="560" w:lineRule="exact"/>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10-20mm的成品骨料</w:t>
            </w:r>
          </w:p>
        </w:tc>
        <w:tc>
          <w:tcPr>
            <w:tcW w:w="1649" w:type="dxa"/>
            <w:noWrap w:val="0"/>
            <w:vAlign w:val="top"/>
          </w:tcPr>
          <w:p w14:paraId="6B4E1820">
            <w:pPr>
              <w:keepNext w:val="0"/>
              <w:keepLines w:val="0"/>
              <w:pageBreakBefore w:val="0"/>
              <w:kinsoku/>
              <w:wordWrap/>
              <w:overflowPunct/>
              <w:topLinePunct w:val="0"/>
              <w:bidi w:val="0"/>
              <w:spacing w:line="560" w:lineRule="exact"/>
              <w:ind w:firstLine="560" w:firstLineChars="200"/>
              <w:jc w:val="center"/>
              <w:textAlignment w:val="auto"/>
              <w:rPr>
                <w:rFonts w:hint="default" w:ascii="仿宋_GB2312" w:hAnsi="仿宋_GB2312" w:eastAsia="仿宋_GB2312" w:cs="仿宋_GB2312"/>
                <w:color w:val="auto"/>
                <w:sz w:val="28"/>
                <w:szCs w:val="28"/>
                <w:highlight w:val="none"/>
                <w:lang w:val="en-US" w:eastAsia="zh-CN"/>
              </w:rPr>
            </w:pPr>
          </w:p>
        </w:tc>
        <w:tc>
          <w:tcPr>
            <w:tcW w:w="1675" w:type="dxa"/>
            <w:noWrap w:val="0"/>
            <w:vAlign w:val="center"/>
          </w:tcPr>
          <w:p w14:paraId="34C9F42E">
            <w:pPr>
              <w:keepNext w:val="0"/>
              <w:keepLines w:val="0"/>
              <w:pageBreakBefore w:val="0"/>
              <w:kinsoku/>
              <w:wordWrap/>
              <w:overflowPunct/>
              <w:topLinePunct w:val="0"/>
              <w:bidi w:val="0"/>
              <w:spacing w:line="560" w:lineRule="exact"/>
              <w:ind w:left="0" w:leftChars="0" w:firstLine="560" w:firstLineChars="200"/>
              <w:jc w:val="both"/>
              <w:textAlignment w:val="auto"/>
              <w:rPr>
                <w:rFonts w:hint="default" w:ascii="仿宋_GB2312" w:hAnsi="仿宋_GB2312" w:cs="仿宋_GB2312"/>
                <w:color w:val="auto"/>
                <w:sz w:val="28"/>
                <w:szCs w:val="28"/>
                <w:highlight w:val="none"/>
                <w:lang w:val="en-US" w:eastAsia="zh-CN"/>
              </w:rPr>
            </w:pPr>
            <w:r>
              <w:rPr>
                <w:rFonts w:hint="eastAsia" w:ascii="仿宋_GB2312" w:hAnsi="仿宋_GB2312" w:cs="仿宋_GB2312"/>
                <w:color w:val="auto"/>
                <w:sz w:val="28"/>
                <w:szCs w:val="28"/>
                <w:highlight w:val="none"/>
                <w:lang w:val="en-US" w:eastAsia="zh-CN"/>
              </w:rPr>
              <w:t xml:space="preserve"> </w:t>
            </w:r>
          </w:p>
        </w:tc>
        <w:tc>
          <w:tcPr>
            <w:tcW w:w="1617" w:type="dxa"/>
            <w:noWrap w:val="0"/>
            <w:vAlign w:val="center"/>
          </w:tcPr>
          <w:p w14:paraId="2D198F50">
            <w:pPr>
              <w:keepNext w:val="0"/>
              <w:keepLines w:val="0"/>
              <w:pageBreakBefore w:val="0"/>
              <w:kinsoku/>
              <w:wordWrap/>
              <w:overflowPunct/>
              <w:topLinePunct w:val="0"/>
              <w:bidi w:val="0"/>
              <w:spacing w:line="560" w:lineRule="exact"/>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汽车装载运输，地磅计量（自提）</w:t>
            </w:r>
          </w:p>
        </w:tc>
        <w:tc>
          <w:tcPr>
            <w:tcW w:w="1482" w:type="dxa"/>
            <w:noWrap w:val="0"/>
            <w:vAlign w:val="center"/>
          </w:tcPr>
          <w:p w14:paraId="7747FB0A">
            <w:pPr>
              <w:keepNext w:val="0"/>
              <w:keepLines w:val="0"/>
              <w:pageBreakBefore w:val="0"/>
              <w:kinsoku/>
              <w:wordWrap/>
              <w:overflowPunct/>
              <w:topLinePunct w:val="0"/>
              <w:bidi w:val="0"/>
              <w:adjustRightInd w:val="0"/>
              <w:snapToGrid w:val="0"/>
              <w:spacing w:line="560" w:lineRule="exact"/>
              <w:ind w:left="0" w:leftChars="0" w:firstLine="0" w:firstLineChars="0"/>
              <w:jc w:val="center"/>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cs="仿宋_GB2312"/>
                <w:color w:val="auto"/>
                <w:sz w:val="28"/>
                <w:szCs w:val="28"/>
                <w:highlight w:val="none"/>
                <w:lang w:val="en-US" w:eastAsia="zh-CN"/>
              </w:rPr>
              <w:t>10万</w:t>
            </w:r>
          </w:p>
        </w:tc>
      </w:tr>
    </w:tbl>
    <w:p w14:paraId="4D912C1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rPr>
        <w:t>方</w:t>
      </w:r>
      <w:r>
        <w:rPr>
          <w:rFonts w:hint="eastAsia" w:ascii="仿宋_GB2312" w:hAnsi="仿宋_GB2312" w:eastAsia="仿宋_GB2312" w:cs="仿宋_GB2312"/>
          <w:color w:val="auto"/>
          <w:sz w:val="32"/>
          <w:szCs w:val="32"/>
          <w:highlight w:val="none"/>
          <w:lang w:val="en-US" w:eastAsia="zh-CN"/>
        </w:rPr>
        <w:t>自合同约定时间起</w:t>
      </w:r>
      <w:r>
        <w:rPr>
          <w:rFonts w:hint="eastAsia" w:ascii="仿宋_GB2312" w:hAnsi="仿宋_GB2312" w:eastAsia="仿宋_GB2312" w:cs="仿宋_GB2312"/>
          <w:color w:val="auto"/>
          <w:sz w:val="32"/>
          <w:szCs w:val="32"/>
          <w:highlight w:val="none"/>
        </w:rPr>
        <w:t>，按下表所列产品、规格及价格向</w:t>
      </w:r>
      <w:r>
        <w:rPr>
          <w:rFonts w:hint="eastAsia" w:ascii="仿宋_GB2312" w:hAnsi="仿宋_GB2312" w:eastAsia="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方供应骨料产品：</w:t>
      </w:r>
      <w:r>
        <w:rPr>
          <w:rFonts w:hint="eastAsia" w:ascii="仿宋_GB2312" w:hAnsi="仿宋_GB2312" w:eastAsia="仿宋_GB2312" w:cs="仿宋_GB2312"/>
          <w:color w:val="auto"/>
          <w:sz w:val="32"/>
          <w:szCs w:val="32"/>
          <w:highlight w:val="none"/>
          <w:lang w:val="en-US" w:eastAsia="zh-CN"/>
        </w:rPr>
        <w:t>碎石（花岗岩）</w:t>
      </w:r>
    </w:p>
    <w:p w14:paraId="3BBF1EB9">
      <w:pPr>
        <w:keepNext w:val="0"/>
        <w:keepLines w:val="0"/>
        <w:pageBreakBefore w:val="0"/>
        <w:kinsoku/>
        <w:wordWrap/>
        <w:overflowPunct/>
        <w:topLinePunct w:val="0"/>
        <w:bidi w:val="0"/>
        <w:adjustRightInd w:val="0"/>
        <w:snapToGrid w:val="0"/>
        <w:spacing w:line="560" w:lineRule="exact"/>
        <w:ind w:firstLine="643" w:firstLineChars="200"/>
        <w:jc w:val="left"/>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第二条  质量要求</w:t>
      </w:r>
    </w:p>
    <w:p w14:paraId="29EF003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乙方供应的碎石质量需遵照GB/T 14685-2022、GB/T 14684-2022等国家标准执行，合同履行过程中如有颁布最新标准，则按最新标准执行。</w:t>
      </w:r>
    </w:p>
    <w:p w14:paraId="29A54B7A">
      <w:pPr>
        <w:keepNext w:val="0"/>
        <w:keepLines w:val="0"/>
        <w:pageBreakBefore w:val="0"/>
        <w:kinsoku/>
        <w:wordWrap/>
        <w:overflowPunct/>
        <w:topLinePunct w:val="0"/>
        <w:bidi w:val="0"/>
        <w:adjustRightInd w:val="0"/>
        <w:snapToGrid w:val="0"/>
        <w:spacing w:line="560" w:lineRule="exact"/>
        <w:ind w:firstLine="643"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第三条  交货时间、交货地点、交货方式、货物签收及运杂费结算</w:t>
      </w:r>
    </w:p>
    <w:p w14:paraId="1DF4E139">
      <w:pPr>
        <w:keepNext w:val="0"/>
        <w:keepLines w:val="0"/>
        <w:pageBreakBefore w:val="0"/>
        <w:kinsoku/>
        <w:wordWrap/>
        <w:overflowPunct/>
        <w:topLinePunct w:val="0"/>
        <w:bidi w:val="0"/>
        <w:adjustRightInd w:val="0"/>
        <w:snapToGrid w:val="0"/>
        <w:spacing w:line="560" w:lineRule="exact"/>
        <w:ind w:firstLine="640" w:firstLineChars="200"/>
        <w:textAlignment w:val="auto"/>
        <w:rPr>
          <w:rFonts w:hint="default" w:ascii="仿宋_GB2312" w:hAnsi="仿宋_GB2312" w:eastAsia="仿宋_GB2312" w:cs="仿宋_GB2312"/>
          <w:color w:val="auto"/>
          <w:sz w:val="32"/>
          <w:szCs w:val="32"/>
          <w:highlight w:val="none"/>
          <w:u w:val="none"/>
          <w:lang w:val="en-US"/>
        </w:rPr>
      </w:pPr>
      <w:r>
        <w:rPr>
          <w:rFonts w:hint="eastAsia" w:ascii="仿宋_GB2312" w:hAnsi="仿宋_GB2312" w:eastAsia="仿宋_GB2312" w:cs="仿宋_GB2312"/>
          <w:color w:val="auto"/>
          <w:sz w:val="32"/>
          <w:szCs w:val="32"/>
          <w:highlight w:val="none"/>
        </w:rPr>
        <w:t>1、交货时间：</w:t>
      </w:r>
      <w:r>
        <w:rPr>
          <w:rFonts w:hint="eastAsia" w:ascii="仿宋_GB2312" w:hAnsi="仿宋_GB2312" w:cs="仿宋_GB2312"/>
          <w:color w:val="auto"/>
          <w:sz w:val="32"/>
          <w:szCs w:val="32"/>
          <w:highlight w:val="none"/>
          <w:u w:val="none"/>
          <w:lang w:val="en-US" w:eastAsia="zh-CN"/>
        </w:rPr>
        <w:t>乙方在完成相关手续且收到甲方发送的产品需求计划及支付的预付款后，乙方应在收到要求之日起</w:t>
      </w:r>
      <w:r>
        <w:rPr>
          <w:rFonts w:hint="eastAsia" w:ascii="仿宋_GB2312" w:hAnsi="仿宋_GB2312" w:cs="仿宋_GB2312"/>
          <w:color w:val="auto"/>
          <w:sz w:val="32"/>
          <w:szCs w:val="32"/>
          <w:highlight w:val="none"/>
          <w:u w:val="single"/>
          <w:lang w:val="en-US" w:eastAsia="zh-CN"/>
        </w:rPr>
        <w:t>五</w:t>
      </w:r>
      <w:r>
        <w:rPr>
          <w:rFonts w:hint="eastAsia" w:ascii="仿宋_GB2312" w:hAnsi="仿宋_GB2312" w:cs="仿宋_GB2312"/>
          <w:color w:val="auto"/>
          <w:sz w:val="32"/>
          <w:szCs w:val="32"/>
          <w:highlight w:val="none"/>
          <w:u w:val="none"/>
          <w:lang w:val="en-US" w:eastAsia="zh-CN"/>
        </w:rPr>
        <w:t>个工作日内回复甲方预计备货完成时间。备货时间应根据产品生产周期、原材料供应短缺等不可预见、不可避免的原因导致备货时间延长，乙方应在知悉情况后</w:t>
      </w:r>
      <w:r>
        <w:rPr>
          <w:rFonts w:hint="eastAsia" w:ascii="仿宋_GB2312" w:hAnsi="仿宋_GB2312" w:cs="仿宋_GB2312"/>
          <w:color w:val="auto"/>
          <w:sz w:val="32"/>
          <w:szCs w:val="32"/>
          <w:highlight w:val="none"/>
          <w:u w:val="single"/>
          <w:lang w:val="en-US" w:eastAsia="zh-CN"/>
        </w:rPr>
        <w:t xml:space="preserve"> 五 </w:t>
      </w:r>
      <w:r>
        <w:rPr>
          <w:rFonts w:hint="eastAsia" w:ascii="仿宋_GB2312" w:hAnsi="仿宋_GB2312" w:cs="仿宋_GB2312"/>
          <w:color w:val="auto"/>
          <w:sz w:val="32"/>
          <w:szCs w:val="32"/>
          <w:highlight w:val="none"/>
          <w:u w:val="none"/>
          <w:lang w:val="en-US" w:eastAsia="zh-CN"/>
        </w:rPr>
        <w:t>个工作日内书面通知甲方，并说明新的预计备货完成时间。</w:t>
      </w:r>
    </w:p>
    <w:p w14:paraId="0ABB3C5D">
      <w:pPr>
        <w:keepNext w:val="0"/>
        <w:keepLines w:val="0"/>
        <w:pageBreakBefore w:val="0"/>
        <w:kinsoku/>
        <w:wordWrap/>
        <w:overflowPunct/>
        <w:topLinePunct w:val="0"/>
        <w:bidi w:val="0"/>
        <w:adjustRightInd w:val="0"/>
        <w:snapToGrid w:val="0"/>
        <w:spacing w:line="560" w:lineRule="exact"/>
        <w:ind w:firstLine="640" w:firstLineChars="200"/>
        <w:jc w:val="left"/>
        <w:textAlignment w:val="auto"/>
        <w:outlineLvl w:val="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2、交货方式及地点</w:t>
      </w:r>
    </w:p>
    <w:p w14:paraId="3EA26DFD">
      <w:pPr>
        <w:keepNext w:val="0"/>
        <w:keepLines w:val="0"/>
        <w:pageBreakBefore w:val="0"/>
        <w:kinsoku/>
        <w:wordWrap/>
        <w:overflowPunct/>
        <w:topLinePunct w:val="0"/>
        <w:bidi w:val="0"/>
        <w:adjustRightInd w:val="0"/>
        <w:snapToGrid w:val="0"/>
        <w:spacing w:line="560" w:lineRule="exact"/>
        <w:ind w:firstLine="640" w:firstLineChars="200"/>
        <w:jc w:val="left"/>
        <w:textAlignment w:val="auto"/>
        <w:outlineLvl w:val="0"/>
        <w:rPr>
          <w:rFonts w:hint="eastAsia" w:ascii="仿宋_GB2312" w:hAnsi="仿宋_GB2312" w:eastAsia="仿宋_GB2312" w:cs="仿宋_GB2312"/>
          <w:color w:val="auto"/>
          <w:sz w:val="32"/>
          <w:szCs w:val="32"/>
          <w:highlight w:val="none"/>
          <w:u w:val="single"/>
        </w:rPr>
      </w:pP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方自提：</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方自行安排运输工具提货，运杂费由</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方承担</w:t>
      </w:r>
      <w:r>
        <w:rPr>
          <w:rFonts w:hint="eastAsia" w:ascii="仿宋_GB2312" w:hAnsi="仿宋_GB2312" w:cs="仿宋_GB2312"/>
          <w:color w:val="auto"/>
          <w:sz w:val="32"/>
          <w:szCs w:val="32"/>
          <w:highlight w:val="none"/>
          <w:lang w:eastAsia="zh-CN"/>
        </w:rPr>
        <w:t>，</w:t>
      </w:r>
      <w:r>
        <w:rPr>
          <w:rFonts w:hint="eastAsia" w:ascii="仿宋_GB2312" w:hAnsi="仿宋_GB2312" w:cs="仿宋_GB2312"/>
          <w:color w:val="auto"/>
          <w:sz w:val="32"/>
          <w:szCs w:val="32"/>
          <w:highlight w:val="none"/>
          <w:lang w:val="en-US" w:eastAsia="zh-CN"/>
        </w:rPr>
        <w:t>装卸费用由乙方承担。</w:t>
      </w:r>
      <w:r>
        <w:rPr>
          <w:rFonts w:hint="eastAsia" w:ascii="仿宋_GB2312" w:hAnsi="仿宋_GB2312" w:eastAsia="仿宋_GB2312" w:cs="仿宋_GB2312"/>
          <w:color w:val="auto"/>
          <w:sz w:val="32"/>
          <w:szCs w:val="32"/>
          <w:highlight w:val="none"/>
        </w:rPr>
        <w:t>交货地点为</w:t>
      </w:r>
      <w:r>
        <w:rPr>
          <w:rFonts w:hint="eastAsia" w:ascii="仿宋_GB2312" w:hAnsi="仿宋_GB2312" w:cs="仿宋_GB2312"/>
          <w:color w:val="auto"/>
          <w:sz w:val="32"/>
          <w:szCs w:val="32"/>
          <w:highlight w:val="none"/>
          <w:u w:val="single"/>
          <w:lang w:val="en-US" w:eastAsia="zh-CN"/>
        </w:rPr>
        <w:t>儋州市西培农场端门岭</w:t>
      </w:r>
      <w:r>
        <w:rPr>
          <w:rFonts w:hint="eastAsia" w:ascii="仿宋_GB2312" w:hAnsi="仿宋_GB2312" w:eastAsia="仿宋_GB2312" w:cs="仿宋_GB2312"/>
          <w:color w:val="auto"/>
          <w:sz w:val="32"/>
          <w:szCs w:val="32"/>
          <w:highlight w:val="none"/>
          <w:u w:val="single"/>
        </w:rPr>
        <w:t>矿区</w:t>
      </w:r>
      <w:r>
        <w:rPr>
          <w:rFonts w:hint="eastAsia" w:ascii="仿宋_GB2312" w:hAnsi="仿宋_GB2312" w:cs="仿宋_GB2312"/>
          <w:color w:val="auto"/>
          <w:sz w:val="32"/>
          <w:szCs w:val="32"/>
          <w:highlight w:val="none"/>
          <w:u w:val="single"/>
          <w:lang w:val="en-US" w:eastAsia="zh-CN"/>
        </w:rPr>
        <w:t>乙方指定区域（如甲方对装卸有新要求需向项目总承包方协商相关费用）</w:t>
      </w:r>
      <w:r>
        <w:rPr>
          <w:rFonts w:hint="eastAsia" w:ascii="仿宋_GB2312" w:hAnsi="仿宋_GB2312" w:eastAsia="仿宋_GB2312" w:cs="仿宋_GB2312"/>
          <w:color w:val="auto"/>
          <w:sz w:val="32"/>
          <w:szCs w:val="32"/>
          <w:highlight w:val="none"/>
        </w:rPr>
        <w:t>。</w:t>
      </w:r>
    </w:p>
    <w:p w14:paraId="7BD1F705">
      <w:pPr>
        <w:keepNext w:val="0"/>
        <w:keepLines w:val="0"/>
        <w:pageBreakBefore w:val="0"/>
        <w:numPr>
          <w:ilvl w:val="0"/>
          <w:numId w:val="1"/>
        </w:numPr>
        <w:kinsoku/>
        <w:wordWrap/>
        <w:overflowPunct/>
        <w:topLinePunct w:val="0"/>
        <w:bidi w:val="0"/>
        <w:adjustRightInd w:val="0"/>
        <w:snapToGrid w:val="0"/>
        <w:spacing w:line="560" w:lineRule="exact"/>
        <w:ind w:left="-40" w:leftChars="0" w:firstLine="640" w:firstLineChars="0"/>
        <w:jc w:val="left"/>
        <w:textAlignment w:val="auto"/>
        <w:outlineLvl w:val="0"/>
        <w:rPr>
          <w:rFonts w:hint="eastAsia"/>
        </w:rPr>
      </w:pPr>
      <w:r>
        <w:rPr>
          <w:rFonts w:hint="eastAsia" w:ascii="仿宋_GB2312" w:hAnsi="仿宋_GB2312" w:eastAsia="仿宋_GB2312" w:cs="仿宋_GB2312"/>
          <w:color w:val="auto"/>
          <w:sz w:val="32"/>
          <w:szCs w:val="32"/>
          <w:highlight w:val="none"/>
        </w:rPr>
        <w:t>货物签收：本合同签订后首次交货前，</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方应向</w:t>
      </w:r>
      <w:r>
        <w:rPr>
          <w:rFonts w:hint="eastAsia" w:ascii="仿宋_GB2312" w:hAnsi="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rPr>
        <w:t>方提供代表</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方签收货物的人员的书面授权书（加盖</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方公章），内容包括签收人员的姓名、身份证复印件、联系电话及签名样本等。交货时由</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方授权的签收人员代表</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方履行产品签收手续。合同期间，</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方签收人员若发生变更，</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方应提前</w:t>
      </w:r>
      <w:r>
        <w:rPr>
          <w:rFonts w:hint="eastAsia" w:ascii="仿宋_GB2312" w:hAnsi="仿宋_GB2312" w:cs="仿宋_GB2312"/>
          <w:color w:val="auto"/>
          <w:sz w:val="32"/>
          <w:szCs w:val="32"/>
          <w:highlight w:val="none"/>
          <w:u w:val="single"/>
          <w:lang w:val="en-US" w:eastAsia="zh-CN"/>
        </w:rPr>
        <w:t xml:space="preserve"> 三 </w:t>
      </w:r>
      <w:r>
        <w:rPr>
          <w:rFonts w:hint="eastAsia" w:ascii="仿宋_GB2312" w:hAnsi="仿宋_GB2312" w:cs="仿宋_GB2312"/>
          <w:color w:val="auto"/>
          <w:sz w:val="32"/>
          <w:szCs w:val="32"/>
          <w:highlight w:val="none"/>
          <w:u w:val="none"/>
          <w:lang w:val="en-US" w:eastAsia="zh-CN"/>
        </w:rPr>
        <w:t>个工作日</w:t>
      </w:r>
      <w:r>
        <w:rPr>
          <w:rFonts w:hint="eastAsia" w:ascii="仿宋_GB2312" w:hAnsi="仿宋_GB2312" w:eastAsia="仿宋_GB2312" w:cs="仿宋_GB2312"/>
          <w:color w:val="auto"/>
          <w:sz w:val="32"/>
          <w:szCs w:val="32"/>
          <w:highlight w:val="none"/>
        </w:rPr>
        <w:t>书面通知</w:t>
      </w:r>
      <w:r>
        <w:rPr>
          <w:rFonts w:hint="eastAsia" w:ascii="仿宋_GB2312" w:hAnsi="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rPr>
        <w:t>方并经甲方书面确认，否则，由此引起的一切损失及责任，由</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方自行承担。</w:t>
      </w:r>
    </w:p>
    <w:p w14:paraId="591CEAD0">
      <w:pPr>
        <w:keepNext w:val="0"/>
        <w:keepLines w:val="0"/>
        <w:pageBreakBefore w:val="0"/>
        <w:numPr>
          <w:ilvl w:val="0"/>
          <w:numId w:val="1"/>
        </w:numPr>
        <w:kinsoku/>
        <w:wordWrap/>
        <w:overflowPunct/>
        <w:topLinePunct w:val="0"/>
        <w:bidi w:val="0"/>
        <w:adjustRightInd w:val="0"/>
        <w:snapToGrid w:val="0"/>
        <w:spacing w:line="560" w:lineRule="exact"/>
        <w:ind w:left="-40" w:leftChars="0" w:firstLine="640" w:firstLineChars="0"/>
        <w:jc w:val="left"/>
        <w:textAlignment w:val="auto"/>
        <w:outlineLvl w:val="0"/>
        <w:rPr>
          <w:rFonts w:hint="default"/>
          <w:lang w:val="en-US"/>
        </w:rPr>
      </w:pPr>
      <w:r>
        <w:rPr>
          <w:rFonts w:hint="eastAsia" w:ascii="仿宋_GB2312" w:hAnsi="仿宋_GB2312" w:cs="仿宋_GB2312"/>
          <w:color w:val="auto"/>
          <w:sz w:val="32"/>
          <w:szCs w:val="32"/>
          <w:highlight w:val="none"/>
          <w:lang w:val="en-US" w:eastAsia="zh-CN"/>
        </w:rPr>
        <w:t>交付时间：甲方支付完首批预付款后，</w:t>
      </w:r>
      <w:r>
        <w:rPr>
          <w:rFonts w:hint="eastAsia" w:ascii="仿宋_GB2312" w:hAnsi="仿宋_GB2312" w:eastAsia="仿宋_GB2312" w:cs="仿宋_GB2312"/>
          <w:color w:val="auto"/>
          <w:sz w:val="32"/>
          <w:szCs w:val="32"/>
          <w:highlight w:val="none"/>
          <w:lang w:val="en-US" w:eastAsia="zh-CN"/>
        </w:rPr>
        <w:t>乙方最迟应于2026</w:t>
      </w:r>
      <w:r>
        <w:rPr>
          <w:rFonts w:hint="eastAsia" w:ascii="仿宋_GB2312" w:hAnsi="仿宋_GB2312" w:cs="仿宋_GB2312"/>
          <w:color w:val="auto"/>
          <w:sz w:val="32"/>
          <w:szCs w:val="32"/>
          <w:highlight w:val="none"/>
          <w:lang w:val="en-US" w:eastAsia="zh-CN"/>
        </w:rPr>
        <w:t>年10</w:t>
      </w:r>
      <w:r>
        <w:rPr>
          <w:rFonts w:hint="eastAsia" w:ascii="仿宋_GB2312" w:hAnsi="仿宋_GB2312" w:eastAsia="仿宋_GB2312" w:cs="仿宋_GB2312"/>
          <w:color w:val="auto"/>
          <w:sz w:val="32"/>
          <w:szCs w:val="32"/>
          <w:highlight w:val="none"/>
          <w:lang w:val="en-US" w:eastAsia="zh-CN"/>
        </w:rPr>
        <w:t>月后开始向甲方供应符合本合同约定的</w:t>
      </w:r>
      <w:r>
        <w:rPr>
          <w:rFonts w:hint="eastAsia" w:ascii="仿宋_GB2312" w:hAnsi="仿宋_GB2312" w:cs="仿宋_GB2312"/>
          <w:color w:val="auto"/>
          <w:sz w:val="32"/>
          <w:szCs w:val="32"/>
          <w:highlight w:val="none"/>
          <w:lang w:val="en-US" w:eastAsia="zh-CN"/>
        </w:rPr>
        <w:t>碎石</w:t>
      </w:r>
      <w:r>
        <w:rPr>
          <w:rFonts w:hint="eastAsia" w:ascii="仿宋_GB2312" w:hAnsi="仿宋_GB2312" w:eastAsia="仿宋_GB2312" w:cs="仿宋_GB2312"/>
          <w:color w:val="auto"/>
          <w:sz w:val="32"/>
          <w:szCs w:val="32"/>
          <w:highlight w:val="none"/>
          <w:lang w:val="en-US" w:eastAsia="zh-CN"/>
        </w:rPr>
        <w:t>标的物；</w:t>
      </w:r>
      <w:r>
        <w:rPr>
          <w:rFonts w:hint="eastAsia" w:ascii="仿宋_GB2312" w:hAnsi="仿宋_GB2312" w:cs="仿宋_GB2312"/>
          <w:color w:val="auto"/>
          <w:sz w:val="32"/>
          <w:szCs w:val="32"/>
          <w:highlight w:val="none"/>
          <w:lang w:val="en-US" w:eastAsia="zh-CN"/>
        </w:rPr>
        <w:t>但因不可归责于乙方的原因（如重大政策调整、自然灾害等客观因素）导致供货计划需调整的，乙方应及时通知甲方，供货期限相应顺延，顺延期间不视为违约。</w:t>
      </w:r>
    </w:p>
    <w:p w14:paraId="48B17389">
      <w:pPr>
        <w:pStyle w:val="2"/>
        <w:keepNext w:val="0"/>
        <w:keepLines w:val="0"/>
        <w:numPr>
          <w:ilvl w:val="0"/>
          <w:numId w:val="1"/>
        </w:numPr>
        <w:kinsoku/>
        <w:wordWrap/>
        <w:overflowPunct/>
        <w:topLinePunct w:val="0"/>
        <w:bidi w:val="0"/>
        <w:spacing w:line="560" w:lineRule="exact"/>
        <w:ind w:left="-40" w:leftChars="0" w:firstLine="640" w:firstLineChars="0"/>
        <w:jc w:val="left"/>
        <w:textAlignment w:val="auto"/>
        <w:rPr>
          <w:rFonts w:hint="default" w:ascii="仿宋_GB2312" w:hAnsi="仿宋_GB2312" w:cs="仿宋_GB2312"/>
          <w:color w:val="auto"/>
          <w:sz w:val="32"/>
          <w:szCs w:val="32"/>
          <w:highlight w:val="none"/>
          <w:lang w:val="en-US" w:eastAsia="zh-CN"/>
        </w:rPr>
      </w:pPr>
      <w:r>
        <w:rPr>
          <w:rFonts w:hint="eastAsia" w:ascii="仿宋_GB2312" w:hAnsi="仿宋_GB2312" w:cs="仿宋_GB2312"/>
          <w:color w:val="auto"/>
          <w:sz w:val="32"/>
          <w:szCs w:val="32"/>
          <w:highlight w:val="none"/>
          <w:lang w:val="en-US" w:eastAsia="zh-CN"/>
        </w:rPr>
        <w:t>最低供货量：乙方应当保证碎石按照不少于</w:t>
      </w:r>
      <w:r>
        <w:rPr>
          <w:rFonts w:hint="eastAsia" w:ascii="仿宋_GB2312" w:hAnsi="仿宋_GB2312" w:cs="仿宋_GB2312"/>
          <w:color w:val="auto"/>
          <w:sz w:val="32"/>
          <w:szCs w:val="32"/>
          <w:highlight w:val="none"/>
          <w:u w:val="single"/>
          <w:lang w:val="en-US" w:eastAsia="zh-CN"/>
        </w:rPr>
        <w:t>3万</w:t>
      </w:r>
      <w:r>
        <w:rPr>
          <w:rFonts w:hint="eastAsia" w:ascii="仿宋_GB2312" w:hAnsi="仿宋_GB2312" w:cs="仿宋_GB2312"/>
          <w:color w:val="auto"/>
          <w:sz w:val="32"/>
          <w:szCs w:val="32"/>
          <w:highlight w:val="none"/>
          <w:u w:val="none"/>
          <w:lang w:val="en-US" w:eastAsia="zh-CN"/>
        </w:rPr>
        <w:t>吨</w:t>
      </w:r>
      <w:r>
        <w:rPr>
          <w:rFonts w:hint="eastAsia" w:ascii="仿宋_GB2312" w:hAnsi="仿宋_GB2312" w:cs="仿宋_GB2312"/>
          <w:color w:val="auto"/>
          <w:sz w:val="32"/>
          <w:szCs w:val="32"/>
          <w:highlight w:val="none"/>
          <w:lang w:val="en-US" w:eastAsia="zh-CN"/>
        </w:rPr>
        <w:t>/月的最低供货量向甲方供货。如因政府环保督察、安全生产整顿、政策调整、不可抗力、设备检修、运输受限、季节性生产波动等不可归责于乙方的客观原因导致无法达到最低供货量的，乙方不承担违约责任，供货计划可由双方协商调整。</w:t>
      </w:r>
    </w:p>
    <w:p w14:paraId="0F58B18F">
      <w:pPr>
        <w:pStyle w:val="2"/>
        <w:keepNext w:val="0"/>
        <w:keepLines w:val="0"/>
        <w:numPr>
          <w:ilvl w:val="0"/>
          <w:numId w:val="1"/>
        </w:numPr>
        <w:kinsoku/>
        <w:wordWrap/>
        <w:overflowPunct/>
        <w:topLinePunct w:val="0"/>
        <w:bidi w:val="0"/>
        <w:spacing w:line="560" w:lineRule="exact"/>
        <w:ind w:left="-40" w:leftChars="0" w:firstLine="640" w:firstLineChars="0"/>
        <w:jc w:val="left"/>
        <w:textAlignment w:val="auto"/>
        <w:rPr>
          <w:rFonts w:hint="default" w:ascii="仿宋_GB2312" w:hAnsi="仿宋_GB2312" w:cs="仿宋_GB2312"/>
          <w:color w:val="auto"/>
          <w:sz w:val="32"/>
          <w:szCs w:val="32"/>
          <w:highlight w:val="none"/>
          <w:lang w:val="en-US" w:eastAsia="zh-CN"/>
        </w:rPr>
      </w:pPr>
      <w:r>
        <w:rPr>
          <w:rFonts w:hint="eastAsia" w:ascii="仿宋_GB2312" w:hAnsi="仿宋_GB2312" w:cs="仿宋_GB2312"/>
          <w:color w:val="auto"/>
          <w:sz w:val="32"/>
          <w:szCs w:val="32"/>
          <w:highlight w:val="none"/>
          <w:lang w:val="en-US" w:eastAsia="zh-CN"/>
        </w:rPr>
        <w:t>甲方连续两个月未完成提货量的，乙方有权调整后续月度供货计划</w:t>
      </w:r>
    </w:p>
    <w:p w14:paraId="608F5133">
      <w:pPr>
        <w:pStyle w:val="2"/>
        <w:keepNext w:val="0"/>
        <w:keepLines w:val="0"/>
        <w:numPr>
          <w:ilvl w:val="0"/>
          <w:numId w:val="1"/>
        </w:numPr>
        <w:kinsoku/>
        <w:wordWrap/>
        <w:overflowPunct/>
        <w:topLinePunct w:val="0"/>
        <w:bidi w:val="0"/>
        <w:spacing w:line="560" w:lineRule="exact"/>
        <w:ind w:left="-40" w:leftChars="0" w:firstLine="640" w:firstLineChars="0"/>
        <w:jc w:val="left"/>
        <w:textAlignment w:val="auto"/>
        <w:rPr>
          <w:rFonts w:hint="eastAsia" w:ascii="仿宋_GB2312" w:hAnsi="仿宋_GB2312" w:cs="仿宋_GB2312"/>
          <w:color w:val="auto"/>
          <w:sz w:val="32"/>
          <w:szCs w:val="32"/>
          <w:highlight w:val="none"/>
          <w:lang w:val="en-US" w:eastAsia="zh-CN"/>
        </w:rPr>
      </w:pPr>
      <w:r>
        <w:rPr>
          <w:rFonts w:hint="eastAsia" w:ascii="仿宋_GB2312" w:hAnsi="仿宋_GB2312" w:cs="仿宋_GB2312"/>
          <w:color w:val="auto"/>
          <w:sz w:val="32"/>
          <w:szCs w:val="32"/>
          <w:highlight w:val="none"/>
          <w:lang w:val="en-US" w:eastAsia="zh-CN"/>
        </w:rPr>
        <w:t>提货</w:t>
      </w:r>
    </w:p>
    <w:p w14:paraId="24FA8C8F">
      <w:pPr>
        <w:pStyle w:val="2"/>
        <w:keepNext w:val="0"/>
        <w:keepLines w:val="0"/>
        <w:numPr>
          <w:ilvl w:val="0"/>
          <w:numId w:val="0"/>
        </w:numPr>
        <w:kinsoku/>
        <w:wordWrap/>
        <w:overflowPunct/>
        <w:topLinePunct w:val="0"/>
        <w:bidi w:val="0"/>
        <w:spacing w:line="560" w:lineRule="exact"/>
        <w:ind w:firstLine="640" w:firstLineChars="200"/>
        <w:jc w:val="left"/>
        <w:textAlignment w:val="auto"/>
        <w:rPr>
          <w:rFonts w:hint="default" w:ascii="仿宋_GB2312" w:hAnsi="仿宋_GB2312" w:cs="仿宋_GB2312"/>
          <w:color w:val="auto"/>
          <w:sz w:val="32"/>
          <w:szCs w:val="32"/>
          <w:highlight w:val="none"/>
          <w:lang w:val="en-US" w:eastAsia="zh-CN"/>
        </w:rPr>
      </w:pPr>
      <w:r>
        <w:rPr>
          <w:rFonts w:hint="eastAsia" w:ascii="仿宋_GB2312" w:hAnsi="仿宋_GB2312" w:cs="仿宋_GB2312"/>
          <w:color w:val="auto"/>
          <w:sz w:val="32"/>
          <w:szCs w:val="32"/>
          <w:highlight w:val="none"/>
          <w:lang w:val="en-US" w:eastAsia="zh-CN"/>
        </w:rPr>
        <w:t>（1）提货期限：乙方完成备货后，应及时书面通知甲方提货（提货时间为正常生产工作时间），通知方式包括但不限于书面通知、电子邮件、短信等。甲方应在收到通知后</w:t>
      </w:r>
      <w:r>
        <w:rPr>
          <w:rFonts w:hint="eastAsia" w:ascii="仿宋_GB2312" w:hAnsi="仿宋_GB2312" w:cs="仿宋_GB2312"/>
          <w:color w:val="auto"/>
          <w:sz w:val="32"/>
          <w:szCs w:val="32"/>
          <w:highlight w:val="none"/>
          <w:u w:val="single"/>
          <w:lang w:val="en-US" w:eastAsia="zh-CN"/>
        </w:rPr>
        <w:t xml:space="preserve"> 七 </w:t>
      </w:r>
      <w:r>
        <w:rPr>
          <w:rFonts w:hint="eastAsia" w:ascii="仿宋_GB2312" w:hAnsi="仿宋_GB2312" w:cs="仿宋_GB2312"/>
          <w:color w:val="auto"/>
          <w:sz w:val="32"/>
          <w:szCs w:val="32"/>
          <w:highlight w:val="none"/>
          <w:lang w:val="en-US" w:eastAsia="zh-CN"/>
        </w:rPr>
        <w:t>个工作日内安排提货并完成已备货物的提离，并自首次供货之日起</w:t>
      </w:r>
      <w:r>
        <w:rPr>
          <w:rFonts w:hint="eastAsia" w:ascii="仿宋_GB2312" w:hAnsi="仿宋_GB2312" w:cs="仿宋_GB2312"/>
          <w:color w:val="auto"/>
          <w:sz w:val="32"/>
          <w:szCs w:val="32"/>
          <w:highlight w:val="none"/>
          <w:u w:val="single"/>
          <w:lang w:val="en-US" w:eastAsia="zh-CN"/>
        </w:rPr>
        <w:t xml:space="preserve"> 两 </w:t>
      </w:r>
      <w:r>
        <w:rPr>
          <w:rFonts w:hint="eastAsia" w:ascii="仿宋_GB2312" w:hAnsi="仿宋_GB2312" w:cs="仿宋_GB2312"/>
          <w:color w:val="auto"/>
          <w:sz w:val="32"/>
          <w:szCs w:val="32"/>
          <w:highlight w:val="none"/>
          <w:u w:val="none"/>
          <w:lang w:val="en-US" w:eastAsia="zh-CN"/>
        </w:rPr>
        <w:t>年</w:t>
      </w:r>
      <w:r>
        <w:rPr>
          <w:rFonts w:hint="eastAsia" w:ascii="仿宋_GB2312" w:hAnsi="仿宋_GB2312" w:cs="仿宋_GB2312"/>
          <w:color w:val="auto"/>
          <w:sz w:val="32"/>
          <w:szCs w:val="32"/>
          <w:highlight w:val="none"/>
          <w:lang w:val="en-US" w:eastAsia="zh-CN"/>
        </w:rPr>
        <w:t>内履行完毕全部提货义务。若甲方未在规定时间内提货，应提前</w:t>
      </w:r>
      <w:r>
        <w:rPr>
          <w:rFonts w:hint="eastAsia" w:ascii="仿宋_GB2312" w:hAnsi="仿宋_GB2312" w:cs="仿宋_GB2312"/>
          <w:color w:val="auto"/>
          <w:sz w:val="32"/>
          <w:szCs w:val="32"/>
          <w:highlight w:val="none"/>
          <w:u w:val="single"/>
          <w:lang w:val="en-US" w:eastAsia="zh-CN"/>
        </w:rPr>
        <w:t xml:space="preserve"> 三 </w:t>
      </w:r>
      <w:r>
        <w:rPr>
          <w:rFonts w:hint="eastAsia" w:ascii="仿宋_GB2312" w:hAnsi="仿宋_GB2312" w:cs="仿宋_GB2312"/>
          <w:color w:val="auto"/>
          <w:sz w:val="32"/>
          <w:szCs w:val="32"/>
          <w:highlight w:val="none"/>
          <w:lang w:val="en-US" w:eastAsia="zh-CN"/>
        </w:rPr>
        <w:t>个工作日书面通知乙方并说明原因，经乙方书面同意后方可延期提货。若甲方未在规定时间内提货且未向乙方书面说明原因的，延迟提货给乙方造成的经济损失，由甲方进行赔偿。</w:t>
      </w:r>
    </w:p>
    <w:p w14:paraId="2D7E9794">
      <w:pPr>
        <w:keepNext w:val="0"/>
        <w:keepLines w:val="0"/>
        <w:kinsoku/>
        <w:wordWrap/>
        <w:overflowPunct/>
        <w:topLinePunct w:val="0"/>
        <w:bidi w:val="0"/>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cs="仿宋_GB2312"/>
          <w:color w:val="auto"/>
          <w:kern w:val="0"/>
          <w:sz w:val="32"/>
          <w:szCs w:val="32"/>
          <w:highlight w:val="none"/>
          <w:lang w:val="en-US" w:eastAsia="zh-CN" w:bidi="ar-SA"/>
        </w:rPr>
        <w:t>（2）</w:t>
      </w:r>
      <w:r>
        <w:rPr>
          <w:rFonts w:hint="eastAsia" w:ascii="仿宋_GB2312" w:hAnsi="仿宋_GB2312" w:eastAsia="仿宋_GB2312" w:cs="仿宋_GB2312"/>
          <w:color w:val="auto"/>
          <w:kern w:val="0"/>
          <w:sz w:val="32"/>
          <w:szCs w:val="32"/>
          <w:highlight w:val="none"/>
          <w:lang w:val="en-US" w:eastAsia="zh-CN" w:bidi="ar-SA"/>
        </w:rPr>
        <w:t>异议：</w:t>
      </w:r>
      <w:r>
        <w:rPr>
          <w:rFonts w:hint="eastAsia" w:ascii="仿宋_GB2312" w:hAnsi="仿宋_GB2312" w:cs="仿宋_GB2312"/>
          <w:color w:val="auto"/>
          <w:kern w:val="0"/>
          <w:sz w:val="32"/>
          <w:szCs w:val="32"/>
          <w:highlight w:val="none"/>
          <w:lang w:val="en-US" w:eastAsia="zh-CN" w:bidi="ar-SA"/>
        </w:rPr>
        <w:t>甲</w:t>
      </w:r>
      <w:r>
        <w:rPr>
          <w:rFonts w:hint="eastAsia" w:ascii="仿宋_GB2312" w:hAnsi="仿宋_GB2312" w:eastAsia="仿宋_GB2312" w:cs="仿宋_GB2312"/>
          <w:color w:val="auto"/>
          <w:kern w:val="0"/>
          <w:sz w:val="32"/>
          <w:szCs w:val="32"/>
          <w:highlight w:val="none"/>
          <w:lang w:val="en-US" w:eastAsia="zh-CN" w:bidi="ar-SA"/>
        </w:rPr>
        <w:t>方对</w:t>
      </w:r>
      <w:r>
        <w:rPr>
          <w:rFonts w:hint="eastAsia" w:ascii="仿宋_GB2312" w:hAnsi="仿宋_GB2312" w:cs="仿宋_GB2312"/>
          <w:color w:val="auto"/>
          <w:kern w:val="0"/>
          <w:sz w:val="32"/>
          <w:szCs w:val="32"/>
          <w:highlight w:val="none"/>
          <w:lang w:val="en-US" w:eastAsia="zh-CN" w:bidi="ar-SA"/>
        </w:rPr>
        <w:t>乙</w:t>
      </w:r>
      <w:r>
        <w:rPr>
          <w:rFonts w:hint="eastAsia" w:ascii="仿宋_GB2312" w:hAnsi="仿宋_GB2312" w:eastAsia="仿宋_GB2312" w:cs="仿宋_GB2312"/>
          <w:color w:val="auto"/>
          <w:kern w:val="0"/>
          <w:sz w:val="32"/>
          <w:szCs w:val="32"/>
          <w:highlight w:val="none"/>
          <w:lang w:val="en-US" w:eastAsia="zh-CN" w:bidi="ar-SA"/>
        </w:rPr>
        <w:t>方所供石料的品类、规格、质量、数量有异议的，可在提货后</w:t>
      </w:r>
      <w:r>
        <w:rPr>
          <w:rFonts w:hint="eastAsia" w:ascii="仿宋_GB2312" w:hAnsi="仿宋_GB2312" w:cs="仿宋_GB2312"/>
          <w:color w:val="auto"/>
          <w:kern w:val="0"/>
          <w:sz w:val="32"/>
          <w:szCs w:val="32"/>
          <w:highlight w:val="none"/>
          <w:u w:val="single"/>
          <w:lang w:val="en-US" w:eastAsia="zh-CN" w:bidi="ar-SA"/>
        </w:rPr>
        <w:t xml:space="preserve"> 七 </w:t>
      </w:r>
      <w:r>
        <w:rPr>
          <w:rFonts w:hint="eastAsia" w:ascii="仿宋_GB2312" w:hAnsi="仿宋_GB2312" w:cs="仿宋_GB2312"/>
          <w:color w:val="auto"/>
          <w:kern w:val="0"/>
          <w:sz w:val="32"/>
          <w:szCs w:val="32"/>
          <w:highlight w:val="none"/>
          <w:u w:val="none"/>
          <w:lang w:val="en-US" w:eastAsia="zh-CN" w:bidi="ar-SA"/>
        </w:rPr>
        <w:t>个工作日</w:t>
      </w:r>
      <w:r>
        <w:rPr>
          <w:rFonts w:hint="eastAsia" w:ascii="仿宋_GB2312" w:hAnsi="仿宋_GB2312" w:eastAsia="仿宋_GB2312" w:cs="仿宋_GB2312"/>
          <w:color w:val="auto"/>
          <w:kern w:val="0"/>
          <w:sz w:val="32"/>
          <w:szCs w:val="32"/>
          <w:highlight w:val="none"/>
          <w:lang w:val="en-US" w:eastAsia="zh-CN" w:bidi="ar-SA"/>
        </w:rPr>
        <w:t>内以书面形式向</w:t>
      </w:r>
      <w:r>
        <w:rPr>
          <w:rFonts w:hint="eastAsia" w:ascii="仿宋_GB2312" w:hAnsi="仿宋_GB2312" w:cs="仿宋_GB2312"/>
          <w:color w:val="auto"/>
          <w:kern w:val="0"/>
          <w:sz w:val="32"/>
          <w:szCs w:val="32"/>
          <w:highlight w:val="none"/>
          <w:lang w:val="en-US" w:eastAsia="zh-CN" w:bidi="ar-SA"/>
        </w:rPr>
        <w:t>乙</w:t>
      </w:r>
      <w:r>
        <w:rPr>
          <w:rFonts w:hint="eastAsia" w:ascii="仿宋_GB2312" w:hAnsi="仿宋_GB2312" w:eastAsia="仿宋_GB2312" w:cs="仿宋_GB2312"/>
          <w:color w:val="auto"/>
          <w:kern w:val="0"/>
          <w:sz w:val="32"/>
          <w:szCs w:val="32"/>
          <w:highlight w:val="none"/>
          <w:lang w:val="en-US" w:eastAsia="zh-CN" w:bidi="ar-SA"/>
        </w:rPr>
        <w:t>方提出，否则视为质量合格。</w:t>
      </w:r>
      <w:r>
        <w:rPr>
          <w:rFonts w:hint="eastAsia" w:ascii="仿宋_GB2312" w:hAnsi="仿宋_GB2312" w:cs="仿宋_GB2312"/>
          <w:color w:val="auto"/>
          <w:kern w:val="0"/>
          <w:sz w:val="32"/>
          <w:szCs w:val="32"/>
          <w:highlight w:val="none"/>
          <w:lang w:val="en-US" w:eastAsia="zh-CN" w:bidi="ar-SA"/>
        </w:rPr>
        <w:t>乙</w:t>
      </w:r>
      <w:r>
        <w:rPr>
          <w:rFonts w:hint="eastAsia" w:ascii="仿宋_GB2312" w:hAnsi="仿宋_GB2312" w:eastAsia="仿宋_GB2312" w:cs="仿宋_GB2312"/>
          <w:color w:val="auto"/>
          <w:kern w:val="0"/>
          <w:sz w:val="32"/>
          <w:szCs w:val="32"/>
          <w:highlight w:val="none"/>
          <w:lang w:val="en-US" w:eastAsia="zh-CN" w:bidi="ar-SA"/>
        </w:rPr>
        <w:t>方应于接到书面异议后</w:t>
      </w:r>
      <w:r>
        <w:rPr>
          <w:rFonts w:hint="eastAsia" w:ascii="仿宋_GB2312" w:hAnsi="仿宋_GB2312" w:cs="仿宋_GB2312"/>
          <w:color w:val="auto"/>
          <w:kern w:val="0"/>
          <w:sz w:val="32"/>
          <w:szCs w:val="32"/>
          <w:highlight w:val="none"/>
          <w:u w:val="single"/>
          <w:lang w:val="en-US" w:eastAsia="zh-CN" w:bidi="ar-SA"/>
        </w:rPr>
        <w:t xml:space="preserve"> 七 </w:t>
      </w:r>
      <w:r>
        <w:rPr>
          <w:rFonts w:hint="eastAsia" w:ascii="仿宋_GB2312" w:hAnsi="仿宋_GB2312" w:cs="仿宋_GB2312"/>
          <w:color w:val="auto"/>
          <w:kern w:val="0"/>
          <w:sz w:val="32"/>
          <w:szCs w:val="32"/>
          <w:highlight w:val="none"/>
          <w:u w:val="none"/>
          <w:lang w:val="en-US" w:eastAsia="zh-CN" w:bidi="ar-SA"/>
        </w:rPr>
        <w:t>个工作</w:t>
      </w:r>
      <w:r>
        <w:rPr>
          <w:rFonts w:hint="eastAsia" w:ascii="仿宋_GB2312" w:hAnsi="仿宋_GB2312" w:eastAsia="仿宋_GB2312" w:cs="仿宋_GB2312"/>
          <w:color w:val="auto"/>
          <w:kern w:val="0"/>
          <w:sz w:val="32"/>
          <w:szCs w:val="32"/>
          <w:highlight w:val="none"/>
          <w:lang w:val="en-US" w:eastAsia="zh-CN" w:bidi="ar-SA"/>
        </w:rPr>
        <w:t>日内核实并与</w:t>
      </w:r>
      <w:r>
        <w:rPr>
          <w:rFonts w:hint="eastAsia" w:ascii="仿宋_GB2312" w:hAnsi="仿宋_GB2312" w:cs="仿宋_GB2312"/>
          <w:color w:val="auto"/>
          <w:kern w:val="0"/>
          <w:sz w:val="32"/>
          <w:szCs w:val="32"/>
          <w:highlight w:val="none"/>
          <w:lang w:val="en-US" w:eastAsia="zh-CN" w:bidi="ar-SA"/>
        </w:rPr>
        <w:t>甲</w:t>
      </w:r>
      <w:r>
        <w:rPr>
          <w:rFonts w:hint="eastAsia" w:ascii="仿宋_GB2312" w:hAnsi="仿宋_GB2312" w:eastAsia="仿宋_GB2312" w:cs="仿宋_GB2312"/>
          <w:color w:val="auto"/>
          <w:kern w:val="0"/>
          <w:sz w:val="32"/>
          <w:szCs w:val="32"/>
          <w:highlight w:val="none"/>
          <w:lang w:val="en-US" w:eastAsia="zh-CN" w:bidi="ar-SA"/>
        </w:rPr>
        <w:t>方协商解决；协商不成的，由甲方和乙方共同委托具备国家认可资质的第三方检测机构进行质量检测，</w:t>
      </w:r>
      <w:r>
        <w:rPr>
          <w:rFonts w:hint="eastAsia" w:ascii="仿宋_GB2312" w:hAnsi="仿宋_GB2312" w:cs="仿宋_GB2312"/>
          <w:color w:val="auto"/>
          <w:kern w:val="0"/>
          <w:sz w:val="32"/>
          <w:szCs w:val="32"/>
          <w:highlight w:val="none"/>
          <w:lang w:val="en-US" w:eastAsia="zh-CN" w:bidi="ar-SA"/>
        </w:rPr>
        <w:t>乙</w:t>
      </w:r>
      <w:r>
        <w:rPr>
          <w:rFonts w:hint="eastAsia" w:ascii="仿宋_GB2312" w:hAnsi="仿宋_GB2312" w:eastAsia="仿宋_GB2312" w:cs="仿宋_GB2312"/>
          <w:color w:val="auto"/>
          <w:kern w:val="0"/>
          <w:sz w:val="32"/>
          <w:szCs w:val="32"/>
          <w:highlight w:val="none"/>
          <w:lang w:val="en-US" w:eastAsia="zh-CN" w:bidi="ar-SA"/>
        </w:rPr>
        <w:t>方无正当理由超过</w:t>
      </w:r>
      <w:r>
        <w:rPr>
          <w:rFonts w:hint="eastAsia" w:ascii="仿宋_GB2312" w:hAnsi="仿宋_GB2312" w:eastAsia="仿宋_GB2312" w:cs="仿宋_GB2312"/>
          <w:color w:val="auto"/>
          <w:kern w:val="0"/>
          <w:sz w:val="32"/>
          <w:szCs w:val="32"/>
          <w:highlight w:val="none"/>
          <w:u w:val="none"/>
          <w:lang w:val="en-US" w:eastAsia="zh-CN" w:bidi="ar-SA"/>
        </w:rPr>
        <w:t>24</w:t>
      </w:r>
      <w:r>
        <w:rPr>
          <w:rFonts w:hint="eastAsia" w:ascii="仿宋_GB2312" w:hAnsi="仿宋_GB2312" w:eastAsia="仿宋_GB2312" w:cs="仿宋_GB2312"/>
          <w:color w:val="auto"/>
          <w:kern w:val="0"/>
          <w:sz w:val="32"/>
          <w:szCs w:val="32"/>
          <w:highlight w:val="none"/>
          <w:lang w:val="en-US" w:eastAsia="zh-CN" w:bidi="ar-SA"/>
        </w:rPr>
        <w:t>小时拒不配合甲方和乙方共同选定的第三方检测机构检测的，或双方无法共同选定检测机构的，则</w:t>
      </w:r>
      <w:r>
        <w:rPr>
          <w:rFonts w:hint="eastAsia" w:ascii="仿宋_GB2312" w:hAnsi="仿宋_GB2312" w:cs="仿宋_GB2312"/>
          <w:color w:val="auto"/>
          <w:kern w:val="0"/>
          <w:sz w:val="32"/>
          <w:szCs w:val="32"/>
          <w:highlight w:val="none"/>
          <w:lang w:val="en-US" w:eastAsia="zh-CN" w:bidi="ar-SA"/>
        </w:rPr>
        <w:t>甲</w:t>
      </w:r>
      <w:r>
        <w:rPr>
          <w:rFonts w:hint="eastAsia" w:ascii="仿宋_GB2312" w:hAnsi="仿宋_GB2312" w:eastAsia="仿宋_GB2312" w:cs="仿宋_GB2312"/>
          <w:color w:val="auto"/>
          <w:kern w:val="0"/>
          <w:sz w:val="32"/>
          <w:szCs w:val="32"/>
          <w:highlight w:val="none"/>
          <w:lang w:val="en-US" w:eastAsia="zh-CN" w:bidi="ar-SA"/>
        </w:rPr>
        <w:t>方有权单方面委托第三方检测机构进行检测，检测结果为最终依据。经第三方检测机构检测，检测费用由</w:t>
      </w:r>
      <w:r>
        <w:rPr>
          <w:rFonts w:hint="eastAsia" w:ascii="仿宋_GB2312" w:hAnsi="仿宋_GB2312" w:cs="仿宋_GB2312"/>
          <w:color w:val="auto"/>
          <w:kern w:val="0"/>
          <w:sz w:val="32"/>
          <w:szCs w:val="32"/>
          <w:highlight w:val="none"/>
          <w:lang w:val="en-US" w:eastAsia="zh-CN" w:bidi="ar-SA"/>
        </w:rPr>
        <w:t>甲</w:t>
      </w:r>
      <w:r>
        <w:rPr>
          <w:rFonts w:hint="eastAsia" w:ascii="仿宋_GB2312" w:hAnsi="仿宋_GB2312" w:eastAsia="仿宋_GB2312" w:cs="仿宋_GB2312"/>
          <w:color w:val="auto"/>
          <w:kern w:val="0"/>
          <w:sz w:val="32"/>
          <w:szCs w:val="32"/>
          <w:highlight w:val="none"/>
          <w:lang w:val="en-US" w:eastAsia="zh-CN" w:bidi="ar-SA"/>
        </w:rPr>
        <w:t>方先行垫付，最终根据检测结果确定责任方承担。若质量不合格，</w:t>
      </w:r>
      <w:r>
        <w:rPr>
          <w:rFonts w:hint="eastAsia" w:ascii="仿宋_GB2312" w:hAnsi="仿宋_GB2312" w:cs="仿宋_GB2312"/>
          <w:color w:val="auto"/>
          <w:kern w:val="0"/>
          <w:sz w:val="32"/>
          <w:szCs w:val="32"/>
          <w:highlight w:val="none"/>
          <w:lang w:val="en-US" w:eastAsia="zh-CN" w:bidi="ar-SA"/>
        </w:rPr>
        <w:t>乙</w:t>
      </w:r>
      <w:r>
        <w:rPr>
          <w:rFonts w:hint="eastAsia" w:ascii="仿宋_GB2312" w:hAnsi="仿宋_GB2312" w:eastAsia="仿宋_GB2312" w:cs="仿宋_GB2312"/>
          <w:color w:val="auto"/>
          <w:kern w:val="0"/>
          <w:sz w:val="32"/>
          <w:szCs w:val="32"/>
          <w:highlight w:val="none"/>
          <w:lang w:val="en-US" w:eastAsia="zh-CN" w:bidi="ar-SA"/>
        </w:rPr>
        <w:t>方应按实际检测合格比例折价结算，并赔偿</w:t>
      </w:r>
      <w:r>
        <w:rPr>
          <w:rFonts w:hint="eastAsia" w:ascii="仿宋_GB2312" w:hAnsi="仿宋_GB2312" w:cs="仿宋_GB2312"/>
          <w:color w:val="auto"/>
          <w:kern w:val="0"/>
          <w:sz w:val="32"/>
          <w:szCs w:val="32"/>
          <w:highlight w:val="none"/>
          <w:lang w:val="en-US" w:eastAsia="zh-CN" w:bidi="ar-SA"/>
        </w:rPr>
        <w:t>甲</w:t>
      </w:r>
      <w:r>
        <w:rPr>
          <w:rFonts w:hint="eastAsia" w:ascii="仿宋_GB2312" w:hAnsi="仿宋_GB2312" w:eastAsia="仿宋_GB2312" w:cs="仿宋_GB2312"/>
          <w:color w:val="auto"/>
          <w:kern w:val="0"/>
          <w:sz w:val="32"/>
          <w:szCs w:val="32"/>
          <w:highlight w:val="none"/>
          <w:lang w:val="en-US" w:eastAsia="zh-CN" w:bidi="ar-SA"/>
        </w:rPr>
        <w:t>方的损失（包括但不限于因质量问题所产生的运费、装卸费用损失以及</w:t>
      </w:r>
      <w:r>
        <w:rPr>
          <w:rFonts w:hint="eastAsia" w:ascii="仿宋_GB2312" w:hAnsi="仿宋_GB2312" w:cs="仿宋_GB2312"/>
          <w:color w:val="auto"/>
          <w:kern w:val="0"/>
          <w:sz w:val="32"/>
          <w:szCs w:val="32"/>
          <w:highlight w:val="none"/>
          <w:lang w:val="en-US" w:eastAsia="zh-CN" w:bidi="ar-SA"/>
        </w:rPr>
        <w:t>甲</w:t>
      </w:r>
      <w:r>
        <w:rPr>
          <w:rFonts w:hint="eastAsia" w:ascii="仿宋_GB2312" w:hAnsi="仿宋_GB2312" w:eastAsia="仿宋_GB2312" w:cs="仿宋_GB2312"/>
          <w:color w:val="auto"/>
          <w:kern w:val="0"/>
          <w:sz w:val="32"/>
          <w:szCs w:val="32"/>
          <w:highlight w:val="none"/>
          <w:lang w:val="en-US" w:eastAsia="zh-CN" w:bidi="ar-SA"/>
        </w:rPr>
        <w:t>方对第三方承担的违约责任，及诉讼费、鉴定费、律师费等）。</w:t>
      </w:r>
    </w:p>
    <w:p w14:paraId="04DB1BC3">
      <w:pPr>
        <w:keepNext w:val="0"/>
        <w:keepLines w:val="0"/>
        <w:kinsoku/>
        <w:wordWrap/>
        <w:overflowPunct/>
        <w:topLinePunct w:val="0"/>
        <w:bidi w:val="0"/>
        <w:spacing w:line="560" w:lineRule="exact"/>
        <w:ind w:firstLine="643" w:firstLineChars="200"/>
        <w:jc w:val="left"/>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第四条  计量标准</w:t>
      </w:r>
    </w:p>
    <w:p w14:paraId="6C8EC7FE">
      <w:pPr>
        <w:keepNext w:val="0"/>
        <w:keepLines w:val="0"/>
        <w:kinsoku/>
        <w:wordWrap/>
        <w:overflowPunct/>
        <w:topLinePunct w:val="0"/>
        <w:bidi w:val="0"/>
        <w:spacing w:line="560" w:lineRule="exact"/>
        <w:ind w:firstLine="640" w:firstLineChars="200"/>
        <w:jc w:val="left"/>
        <w:textAlignment w:val="auto"/>
        <w:rPr>
          <w:rFonts w:hint="eastAsia" w:ascii="仿宋_GB2312" w:hAnsi="仿宋_GB2312" w:cs="仿宋_GB2312"/>
          <w:color w:val="auto"/>
          <w:sz w:val="32"/>
          <w:szCs w:val="32"/>
          <w:highlight w:val="none"/>
          <w:lang w:val="en-US" w:eastAsia="zh-CN"/>
        </w:rPr>
      </w:pPr>
      <w:r>
        <w:rPr>
          <w:rFonts w:hint="eastAsia" w:ascii="仿宋_GB2312" w:hAnsi="仿宋_GB2312" w:cs="仿宋_GB2312"/>
          <w:color w:val="auto"/>
          <w:sz w:val="32"/>
          <w:szCs w:val="32"/>
          <w:highlight w:val="none"/>
          <w:lang w:val="en-US" w:eastAsia="zh-CN"/>
        </w:rPr>
        <w:t>1.计量</w:t>
      </w:r>
    </w:p>
    <w:p w14:paraId="2CC48779">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cs="仿宋_GB2312"/>
          <w:color w:val="auto"/>
          <w:sz w:val="32"/>
          <w:szCs w:val="32"/>
          <w:highlight w:val="none"/>
          <w:lang w:val="en-US" w:eastAsia="zh-CN"/>
        </w:rPr>
      </w:pPr>
      <w:r>
        <w:rPr>
          <w:rFonts w:hint="eastAsia" w:ascii="仿宋_GB2312" w:hAnsi="仿宋_GB2312" w:cs="仿宋_GB2312"/>
          <w:color w:val="auto"/>
          <w:sz w:val="32"/>
          <w:szCs w:val="32"/>
          <w:highlight w:val="none"/>
          <w:lang w:val="en-US" w:eastAsia="zh-CN"/>
        </w:rPr>
        <w:t>（1）计量方式：地磅计量。</w:t>
      </w:r>
    </w:p>
    <w:p w14:paraId="09ED10D1">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cs="仿宋_GB2312"/>
          <w:color w:val="auto"/>
          <w:sz w:val="32"/>
          <w:szCs w:val="32"/>
          <w:highlight w:val="none"/>
          <w:lang w:val="en-US" w:eastAsia="zh-CN"/>
        </w:rPr>
        <w:t>（2）计量规范</w:t>
      </w:r>
      <w:r>
        <w:rPr>
          <w:rFonts w:hint="eastAsia" w:ascii="仿宋_GB2312" w:hAnsi="仿宋_GB2312" w:eastAsia="仿宋_GB2312" w:cs="仿宋_GB2312"/>
          <w:color w:val="auto"/>
          <w:sz w:val="32"/>
          <w:szCs w:val="32"/>
          <w:highlight w:val="none"/>
        </w:rPr>
        <w:t>以</w:t>
      </w:r>
      <w:r>
        <w:rPr>
          <w:rFonts w:hint="eastAsia" w:ascii="仿宋_GB2312" w:hAnsi="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rPr>
        <w:t>方过磅数量为准（地磅须经法定计量检测机构认可），合理损耗按</w:t>
      </w:r>
      <w:r>
        <w:rPr>
          <w:rFonts w:hint="eastAsia" w:ascii="仿宋_GB2312" w:hAnsi="仿宋_GB2312" w:eastAsia="仿宋_GB2312" w:cs="仿宋_GB2312"/>
          <w:color w:val="auto"/>
          <w:sz w:val="32"/>
          <w:szCs w:val="32"/>
          <w:highlight w:val="none"/>
          <w:u w:val="single"/>
        </w:rPr>
        <w:t xml:space="preserve">±3‰ </w:t>
      </w:r>
      <w:r>
        <w:rPr>
          <w:rFonts w:hint="eastAsia" w:ascii="仿宋_GB2312" w:hAnsi="仿宋_GB2312" w:eastAsia="仿宋_GB2312" w:cs="仿宋_GB2312"/>
          <w:color w:val="auto"/>
          <w:sz w:val="32"/>
          <w:szCs w:val="32"/>
          <w:highlight w:val="none"/>
        </w:rPr>
        <w:t>的标准执行。</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方可抽检复磅（地磅须经法定计量检测机构认可），若</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方抽检结果与</w:t>
      </w:r>
      <w:r>
        <w:rPr>
          <w:rFonts w:hint="eastAsia" w:ascii="仿宋_GB2312" w:hAnsi="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rPr>
        <w:t>方提供的过磅数量磅差值在</w:t>
      </w:r>
      <w:r>
        <w:rPr>
          <w:rFonts w:hint="eastAsia" w:ascii="仿宋_GB2312" w:hAnsi="仿宋_GB2312" w:eastAsia="仿宋_GB2312" w:cs="仿宋_GB2312"/>
          <w:color w:val="auto"/>
          <w:sz w:val="32"/>
          <w:szCs w:val="32"/>
          <w:highlight w:val="none"/>
          <w:u w:val="single"/>
        </w:rPr>
        <w:t xml:space="preserve">±3‰ </w:t>
      </w:r>
      <w:r>
        <w:rPr>
          <w:rFonts w:hint="eastAsia" w:ascii="仿宋_GB2312" w:hAnsi="仿宋_GB2312" w:eastAsia="仿宋_GB2312" w:cs="仿宋_GB2312"/>
          <w:color w:val="auto"/>
          <w:sz w:val="32"/>
          <w:szCs w:val="32"/>
          <w:highlight w:val="none"/>
        </w:rPr>
        <w:t>以内，甲、乙双方同意属于正常，该批货物结算数量以</w:t>
      </w:r>
      <w:r>
        <w:rPr>
          <w:rFonts w:hint="eastAsia" w:ascii="仿宋_GB2312" w:hAnsi="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rPr>
        <w:t>方过磅单数量为准，复磅费用由</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方承担；若甲、乙双方磅负差超过</w:t>
      </w:r>
      <w:r>
        <w:rPr>
          <w:rFonts w:hint="eastAsia" w:ascii="仿宋_GB2312" w:hAnsi="仿宋_GB2312" w:eastAsia="仿宋_GB2312" w:cs="仿宋_GB2312"/>
          <w:color w:val="auto"/>
          <w:sz w:val="32"/>
          <w:szCs w:val="32"/>
          <w:highlight w:val="none"/>
          <w:u w:val="single"/>
        </w:rPr>
        <w:t xml:space="preserve">3‰ </w:t>
      </w:r>
      <w:r>
        <w:rPr>
          <w:rFonts w:hint="eastAsia" w:ascii="仿宋_GB2312" w:hAnsi="仿宋_GB2312" w:eastAsia="仿宋_GB2312" w:cs="仿宋_GB2312"/>
          <w:color w:val="auto"/>
          <w:sz w:val="32"/>
          <w:szCs w:val="32"/>
          <w:highlight w:val="none"/>
        </w:rPr>
        <w:t>，则可经双方认可的第三方地磅进行复核（第三方地磅须经法定计量检测机构认可），该批货物结算数量以与第三方复磅误差量小的一方过磅数量为准，复磅费用由误差量大的一方承担。</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方抽检复磅须在签收产品时书面提出并当场检验。</w:t>
      </w:r>
    </w:p>
    <w:p w14:paraId="7B8E2A13">
      <w:pPr>
        <w:keepNext w:val="0"/>
        <w:keepLines w:val="0"/>
        <w:kinsoku/>
        <w:wordWrap/>
        <w:overflowPunct/>
        <w:topLinePunct w:val="0"/>
        <w:bidi w:val="0"/>
        <w:spacing w:line="560" w:lineRule="exact"/>
        <w:ind w:firstLine="640" w:firstLineChars="200"/>
        <w:jc w:val="left"/>
        <w:textAlignment w:val="auto"/>
        <w:rPr>
          <w:rFonts w:hint="default" w:eastAsia="仿宋_GB2312"/>
          <w:lang w:val="en-US" w:eastAsia="zh-CN"/>
        </w:rPr>
      </w:pPr>
      <w:r>
        <w:rPr>
          <w:rFonts w:hint="eastAsia" w:ascii="仿宋_GB2312" w:hAnsi="仿宋_GB2312" w:cs="仿宋_GB2312"/>
          <w:color w:val="auto"/>
          <w:sz w:val="32"/>
          <w:szCs w:val="32"/>
          <w:highlight w:val="none"/>
          <w:lang w:eastAsia="zh-CN"/>
        </w:rPr>
        <w:t>（</w:t>
      </w:r>
      <w:r>
        <w:rPr>
          <w:rFonts w:hint="eastAsia" w:ascii="仿宋_GB2312" w:hAnsi="仿宋_GB2312" w:cs="仿宋_GB2312"/>
          <w:color w:val="auto"/>
          <w:sz w:val="32"/>
          <w:szCs w:val="32"/>
          <w:highlight w:val="none"/>
          <w:lang w:val="en-US" w:eastAsia="zh-CN"/>
        </w:rPr>
        <w:t>3</w:t>
      </w:r>
      <w:r>
        <w:rPr>
          <w:rFonts w:hint="eastAsia" w:ascii="仿宋_GB2312" w:hAnsi="仿宋_GB2312" w:cs="仿宋_GB2312"/>
          <w:color w:val="auto"/>
          <w:sz w:val="32"/>
          <w:szCs w:val="32"/>
          <w:highlight w:val="none"/>
          <w:lang w:eastAsia="zh-CN"/>
        </w:rPr>
        <w:t>）</w:t>
      </w:r>
      <w:r>
        <w:rPr>
          <w:rFonts w:hint="eastAsia" w:ascii="仿宋_GB2312" w:hAnsi="仿宋_GB2312" w:cs="仿宋_GB2312"/>
          <w:color w:val="auto"/>
          <w:sz w:val="32"/>
          <w:szCs w:val="32"/>
          <w:highlight w:val="none"/>
          <w:lang w:val="en-US" w:eastAsia="zh-CN"/>
        </w:rPr>
        <w:t>异议处理：甲</w:t>
      </w:r>
      <w:r>
        <w:rPr>
          <w:rFonts w:hint="eastAsia" w:ascii="仿宋_GB2312" w:hAnsi="仿宋_GB2312" w:eastAsia="仿宋_GB2312" w:cs="仿宋_GB2312"/>
          <w:color w:val="auto"/>
          <w:sz w:val="32"/>
          <w:szCs w:val="32"/>
          <w:highlight w:val="none"/>
        </w:rPr>
        <w:t>方对计量结果有异议的，应于提货后24小时内书面通知</w:t>
      </w:r>
      <w:r>
        <w:rPr>
          <w:rFonts w:hint="eastAsia" w:ascii="仿宋_GB2312" w:hAnsi="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rPr>
        <w:t>方，</w:t>
      </w:r>
      <w:r>
        <w:rPr>
          <w:rFonts w:hint="eastAsia" w:ascii="仿宋_GB2312" w:hAnsi="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rPr>
        <w:t>方应在收到通知后48小时内与</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方共同复核；复核仍无法达成一致的，</w:t>
      </w:r>
      <w:r>
        <w:rPr>
          <w:rFonts w:hint="eastAsia" w:ascii="仿宋_GB2312" w:hAnsi="仿宋_GB2312" w:eastAsia="仿宋_GB2312" w:cs="仿宋_GB2312"/>
          <w:color w:val="auto"/>
          <w:sz w:val="32"/>
          <w:szCs w:val="32"/>
          <w:highlight w:val="none"/>
          <w:lang w:val="en-US" w:eastAsia="zh-CN"/>
        </w:rPr>
        <w:t>双</w:t>
      </w:r>
      <w:r>
        <w:rPr>
          <w:rFonts w:hint="eastAsia" w:ascii="仿宋_GB2312" w:hAnsi="仿宋_GB2312" w:eastAsia="仿宋_GB2312" w:cs="仿宋_GB2312"/>
          <w:color w:val="auto"/>
          <w:sz w:val="32"/>
          <w:szCs w:val="32"/>
          <w:highlight w:val="none"/>
        </w:rPr>
        <w:t>方有权</w:t>
      </w:r>
      <w:r>
        <w:rPr>
          <w:rFonts w:hint="eastAsia" w:ascii="仿宋_GB2312" w:hAnsi="仿宋_GB2312" w:eastAsia="仿宋_GB2312" w:cs="仿宋_GB2312"/>
          <w:color w:val="auto"/>
          <w:sz w:val="32"/>
          <w:szCs w:val="32"/>
          <w:highlight w:val="none"/>
          <w:lang w:val="en-US" w:eastAsia="zh-CN"/>
        </w:rPr>
        <w:t>共同</w:t>
      </w:r>
      <w:r>
        <w:rPr>
          <w:rFonts w:hint="eastAsia" w:ascii="仿宋_GB2312" w:hAnsi="仿宋_GB2312" w:eastAsia="仿宋_GB2312" w:cs="仿宋_GB2312"/>
          <w:color w:val="auto"/>
          <w:sz w:val="32"/>
          <w:szCs w:val="32"/>
          <w:highlight w:val="none"/>
        </w:rPr>
        <w:t>委托双方</w:t>
      </w:r>
      <w:r>
        <w:rPr>
          <w:rFonts w:hint="eastAsia" w:ascii="仿宋_GB2312" w:hAnsi="仿宋_GB2312" w:eastAsia="仿宋_GB2312" w:cs="仿宋_GB2312"/>
          <w:color w:val="auto"/>
          <w:sz w:val="32"/>
          <w:szCs w:val="32"/>
          <w:highlight w:val="none"/>
          <w:lang w:val="en-US" w:eastAsia="zh-CN"/>
        </w:rPr>
        <w:t>书面</w:t>
      </w:r>
      <w:r>
        <w:rPr>
          <w:rFonts w:hint="eastAsia" w:ascii="仿宋_GB2312" w:hAnsi="仿宋_GB2312" w:eastAsia="仿宋_GB2312" w:cs="仿宋_GB2312"/>
          <w:color w:val="auto"/>
          <w:sz w:val="32"/>
          <w:szCs w:val="32"/>
          <w:highlight w:val="none"/>
        </w:rPr>
        <w:t>认可的</w:t>
      </w:r>
      <w:r>
        <w:rPr>
          <w:rFonts w:hint="eastAsia" w:ascii="仿宋_GB2312" w:hAnsi="仿宋_GB2312" w:eastAsia="仿宋_GB2312" w:cs="仿宋_GB2312"/>
          <w:color w:val="auto"/>
          <w:sz w:val="32"/>
          <w:szCs w:val="32"/>
          <w:highlight w:val="none"/>
          <w:lang w:val="en-US" w:eastAsia="zh-CN"/>
        </w:rPr>
        <w:t>具备国家认可资质的</w:t>
      </w:r>
      <w:r>
        <w:rPr>
          <w:rFonts w:hint="eastAsia" w:ascii="仿宋_GB2312" w:hAnsi="仿宋_GB2312" w:eastAsia="仿宋_GB2312" w:cs="仿宋_GB2312"/>
          <w:color w:val="auto"/>
          <w:sz w:val="32"/>
          <w:szCs w:val="32"/>
          <w:highlight w:val="none"/>
        </w:rPr>
        <w:t>第三方计量机构进行复检，复检结果为最终结算依据，因复检发生的相关费用由责任方承担。若一方未在上述期限内配合完成选定工作，另一方可书面通知该方在48小时内配合办理选定事宜。逾期仍未配合的，提出异议的一方可单方面委托符合资质的第三方计量机构实施复检，复检过程应允许另一方全程参与监督</w:t>
      </w:r>
      <w:r>
        <w:rPr>
          <w:rFonts w:hint="eastAsia" w:ascii="仿宋_GB2312" w:hAnsi="仿宋_GB2312" w:eastAsia="仿宋_GB2312" w:cs="仿宋_GB2312"/>
          <w:color w:val="auto"/>
          <w:sz w:val="32"/>
          <w:szCs w:val="32"/>
          <w:highlight w:val="none"/>
          <w:lang w:val="en-US" w:eastAsia="zh-CN"/>
        </w:rPr>
        <w:t>。</w:t>
      </w:r>
    </w:p>
    <w:p w14:paraId="32839A30">
      <w:pPr>
        <w:keepNext w:val="0"/>
        <w:keepLines w:val="0"/>
        <w:pageBreakBefore w:val="0"/>
        <w:kinsoku/>
        <w:wordWrap/>
        <w:overflowPunct/>
        <w:topLinePunct w:val="0"/>
        <w:bidi w:val="0"/>
        <w:adjustRightInd w:val="0"/>
        <w:snapToGrid w:val="0"/>
        <w:spacing w:line="560" w:lineRule="exact"/>
        <w:ind w:firstLine="643" w:firstLineChars="200"/>
        <w:jc w:val="left"/>
        <w:textAlignment w:val="auto"/>
        <w:outlineLvl w:val="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第五条  验收标准</w:t>
      </w:r>
    </w:p>
    <w:p w14:paraId="4B987D8D">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产品的质量验收以</w:t>
      </w:r>
      <w:r>
        <w:rPr>
          <w:rFonts w:hint="eastAsia" w:ascii="仿宋_GB2312" w:hAnsi="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rPr>
        <w:t>方生产厂同批次产品的检验报告为依据。</w:t>
      </w:r>
    </w:p>
    <w:p w14:paraId="4C52DF05">
      <w:pPr>
        <w:keepNext w:val="0"/>
        <w:keepLines w:val="0"/>
        <w:pageBreakBefore w:val="0"/>
        <w:numPr>
          <w:ilvl w:val="0"/>
          <w:numId w:val="2"/>
        </w:numPr>
        <w:kinsoku/>
        <w:wordWrap/>
        <w:overflowPunct/>
        <w:topLinePunct w:val="0"/>
        <w:bidi w:val="0"/>
        <w:adjustRightInd w:val="0"/>
        <w:snapToGrid w:val="0"/>
        <w:spacing w:line="560" w:lineRule="exact"/>
        <w:ind w:firstLine="643" w:firstLineChars="200"/>
        <w:jc w:val="left"/>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 xml:space="preserve"> 付款及结算方式</w:t>
      </w:r>
    </w:p>
    <w:p w14:paraId="7041EF6D">
      <w:pPr>
        <w:keepNext w:val="0"/>
        <w:keepLines w:val="0"/>
        <w:pageBreakBefore w:val="0"/>
        <w:numPr>
          <w:ilvl w:val="0"/>
          <w:numId w:val="0"/>
        </w:numPr>
        <w:kinsoku/>
        <w:wordWrap/>
        <w:overflowPunct/>
        <w:topLinePunct w:val="0"/>
        <w:bidi w:val="0"/>
        <w:adjustRightInd w:val="0"/>
        <w:snapToGrid w:val="0"/>
        <w:spacing w:line="560" w:lineRule="exact"/>
        <w:ind w:firstLine="643" w:firstLineChars="200"/>
        <w:jc w:val="left"/>
        <w:textAlignment w:val="auto"/>
        <w:rPr>
          <w:rFonts w:hint="default" w:ascii="仿宋_GB2312" w:hAnsi="仿宋_GB2312" w:eastAsia="仿宋_GB2312" w:cs="仿宋_GB2312"/>
          <w:b/>
          <w:bCs/>
          <w:color w:val="auto"/>
          <w:sz w:val="32"/>
          <w:szCs w:val="32"/>
          <w:highlight w:val="none"/>
          <w:lang w:val="en-US" w:eastAsia="zh-CN"/>
        </w:rPr>
      </w:pPr>
      <w:r>
        <w:rPr>
          <w:rFonts w:hint="eastAsia" w:ascii="仿宋_GB2312" w:hAnsi="仿宋_GB2312" w:cs="仿宋_GB2312"/>
          <w:b/>
          <w:bCs/>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w:t>
      </w:r>
      <w:r>
        <w:rPr>
          <w:rFonts w:hint="eastAsia" w:ascii="仿宋_GB2312" w:hAnsi="仿宋_GB2312" w:cs="仿宋_GB2312"/>
          <w:color w:val="auto"/>
          <w:sz w:val="32"/>
          <w:szCs w:val="32"/>
          <w:highlight w:val="none"/>
          <w:lang w:val="en-US" w:eastAsia="zh-CN"/>
        </w:rPr>
        <w:t>在合同签订后</w:t>
      </w:r>
      <w:r>
        <w:rPr>
          <w:rFonts w:hint="eastAsia" w:ascii="仿宋_GB2312" w:hAnsi="仿宋_GB2312" w:cs="仿宋_GB2312"/>
          <w:color w:val="auto"/>
          <w:sz w:val="32"/>
          <w:szCs w:val="32"/>
          <w:highlight w:val="none"/>
          <w:u w:val="single"/>
          <w:lang w:val="en-US" w:eastAsia="zh-CN"/>
        </w:rPr>
        <w:t xml:space="preserve"> 叁 </w:t>
      </w:r>
      <w:r>
        <w:rPr>
          <w:rFonts w:hint="eastAsia" w:ascii="仿宋_GB2312" w:hAnsi="仿宋_GB2312" w:cs="仿宋_GB2312"/>
          <w:color w:val="auto"/>
          <w:sz w:val="32"/>
          <w:szCs w:val="32"/>
          <w:highlight w:val="none"/>
          <w:lang w:val="en-US" w:eastAsia="zh-CN"/>
        </w:rPr>
        <w:t>天内</w:t>
      </w:r>
      <w:r>
        <w:rPr>
          <w:rFonts w:hint="eastAsia" w:ascii="仿宋_GB2312" w:hAnsi="仿宋_GB2312" w:eastAsia="仿宋_GB2312" w:cs="仿宋_GB2312"/>
          <w:color w:val="auto"/>
          <w:sz w:val="32"/>
          <w:szCs w:val="32"/>
          <w:highlight w:val="none"/>
        </w:rPr>
        <w:t>向</w:t>
      </w:r>
      <w:r>
        <w:rPr>
          <w:rFonts w:hint="eastAsia" w:ascii="仿宋_GB2312" w:hAnsi="仿宋_GB2312" w:eastAsia="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rPr>
        <w:t>方预付货款，</w:t>
      </w:r>
      <w:r>
        <w:rPr>
          <w:rFonts w:hint="eastAsia" w:ascii="仿宋_GB2312" w:hAnsi="仿宋_GB2312" w:eastAsia="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rPr>
        <w:t>方在确认货款到</w:t>
      </w:r>
      <w:r>
        <w:rPr>
          <w:rFonts w:hint="eastAsia" w:ascii="仿宋_GB2312" w:hAnsi="仿宋_GB2312" w:eastAsia="仿宋_GB2312" w:cs="仿宋_GB2312"/>
          <w:color w:val="auto"/>
          <w:sz w:val="32"/>
          <w:szCs w:val="32"/>
          <w:highlight w:val="none"/>
          <w:lang w:val="en-US" w:eastAsia="zh-CN"/>
        </w:rPr>
        <w:t>账</w:t>
      </w:r>
      <w:r>
        <w:rPr>
          <w:rFonts w:hint="eastAsia" w:ascii="仿宋_GB2312" w:hAnsi="仿宋_GB2312" w:eastAsia="仿宋_GB2312" w:cs="仿宋_GB2312"/>
          <w:color w:val="auto"/>
          <w:sz w:val="32"/>
          <w:szCs w:val="32"/>
          <w:highlight w:val="none"/>
        </w:rPr>
        <w:t>后，</w:t>
      </w:r>
      <w:r>
        <w:rPr>
          <w:rFonts w:hint="eastAsia" w:ascii="仿宋_GB2312" w:hAnsi="仿宋_GB2312" w:eastAsia="仿宋_GB2312" w:cs="仿宋_GB2312"/>
          <w:color w:val="auto"/>
          <w:sz w:val="32"/>
          <w:szCs w:val="32"/>
          <w:highlight w:val="none"/>
          <w:lang w:val="en-US" w:eastAsia="zh-CN"/>
        </w:rPr>
        <w:t>根据实际情况优先</w:t>
      </w:r>
      <w:r>
        <w:rPr>
          <w:rFonts w:hint="eastAsia" w:ascii="仿宋_GB2312" w:hAnsi="仿宋_GB2312" w:eastAsia="仿宋_GB2312" w:cs="仿宋_GB2312"/>
          <w:color w:val="auto"/>
          <w:sz w:val="32"/>
          <w:szCs w:val="32"/>
          <w:highlight w:val="none"/>
        </w:rPr>
        <w:t>安排发货，发货价值不超过预付款金额。否则，</w:t>
      </w:r>
      <w:r>
        <w:rPr>
          <w:rFonts w:hint="eastAsia" w:ascii="仿宋_GB2312" w:hAnsi="仿宋_GB2312" w:eastAsia="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rPr>
        <w:t>方有权拒绝发货并不承担任何责任。</w:t>
      </w:r>
    </w:p>
    <w:p w14:paraId="5ED681BF">
      <w:pPr>
        <w:keepNext w:val="0"/>
        <w:keepLines w:val="0"/>
        <w:pageBreakBefore w:val="0"/>
        <w:numPr>
          <w:ilvl w:val="0"/>
          <w:numId w:val="0"/>
        </w:numPr>
        <w:kinsoku/>
        <w:wordWrap/>
        <w:overflowPunct/>
        <w:topLinePunct w:val="0"/>
        <w:bidi w:val="0"/>
        <w:adjustRightInd w:val="0"/>
        <w:snapToGrid w:val="0"/>
        <w:spacing w:line="560" w:lineRule="exact"/>
        <w:ind w:firstLine="640" w:firstLineChars="200"/>
        <w:jc w:val="left"/>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val="en-US" w:eastAsia="zh-CN"/>
        </w:rPr>
        <w:t>本合同</w:t>
      </w:r>
      <w:r>
        <w:rPr>
          <w:rFonts w:hint="eastAsia" w:ascii="仿宋_GB2312" w:hAnsi="仿宋_GB2312" w:cs="仿宋_GB2312"/>
          <w:color w:val="auto"/>
          <w:sz w:val="32"/>
          <w:szCs w:val="32"/>
          <w:highlight w:val="none"/>
          <w:lang w:val="en-US" w:eastAsia="zh-CN"/>
        </w:rPr>
        <w:t>定货款总额</w:t>
      </w:r>
      <w:r>
        <w:rPr>
          <w:rFonts w:hint="eastAsia" w:ascii="仿宋_GB2312" w:hAnsi="仿宋_GB2312" w:eastAsia="仿宋_GB2312" w:cs="仿宋_GB2312"/>
          <w:color w:val="auto"/>
          <w:sz w:val="32"/>
          <w:szCs w:val="32"/>
          <w:highlight w:val="none"/>
          <w:u w:val="none"/>
          <w:lang w:val="en-US" w:eastAsia="zh-CN"/>
        </w:rPr>
        <w:t>￥</w:t>
      </w:r>
      <w:r>
        <w:rPr>
          <w:rFonts w:hint="eastAsia" w:ascii="仿宋_GB2312" w:hAnsi="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lang w:val="en-US" w:eastAsia="zh-CN"/>
        </w:rPr>
        <w:t>元（大写：</w:t>
      </w:r>
      <w:r>
        <w:rPr>
          <w:rFonts w:hint="eastAsia" w:ascii="仿宋_GB2312" w:hAnsi="仿宋_GB2312" w:cs="仿宋_GB2312"/>
          <w:color w:val="auto"/>
          <w:sz w:val="32"/>
          <w:szCs w:val="32"/>
          <w:highlight w:val="none"/>
          <w:u w:val="single"/>
          <w:lang w:val="en-US" w:eastAsia="zh-CN"/>
        </w:rPr>
        <w:t xml:space="preserve">     万元整 </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cs="仿宋_GB2312"/>
          <w:color w:val="auto"/>
          <w:sz w:val="32"/>
          <w:szCs w:val="32"/>
          <w:highlight w:val="none"/>
          <w:lang w:val="en-US" w:eastAsia="zh-CN"/>
        </w:rPr>
        <w:t>，具体付款方式为</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cs="仿宋_GB2312"/>
          <w:color w:val="auto"/>
          <w:sz w:val="32"/>
          <w:szCs w:val="32"/>
          <w:highlight w:val="none"/>
          <w:lang w:val="en-US" w:eastAsia="zh-CN"/>
        </w:rPr>
        <w:t>（1）本合同生效后3个工作日内，甲方应向乙方支付合同总价50%预付款总计金额为：</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u w:val="single"/>
          <w:lang w:val="en-US" w:eastAsia="zh-CN"/>
        </w:rPr>
        <w:t>元</w:t>
      </w:r>
      <w:r>
        <w:rPr>
          <w:rFonts w:hint="eastAsia" w:ascii="仿宋_GB2312" w:hAnsi="仿宋_GB2312" w:eastAsia="仿宋_GB2312" w:cs="仿宋_GB2312"/>
          <w:color w:val="auto"/>
          <w:sz w:val="32"/>
          <w:szCs w:val="32"/>
          <w:highlight w:val="none"/>
          <w:lang w:val="en-US" w:eastAsia="zh-CN"/>
        </w:rPr>
        <w:t>（大写：</w:t>
      </w:r>
      <w:r>
        <w:rPr>
          <w:rFonts w:hint="eastAsia" w:ascii="仿宋_GB2312" w:hAnsi="仿宋_GB2312" w:eastAsia="仿宋_GB2312" w:cs="仿宋_GB2312"/>
          <w:color w:val="auto"/>
          <w:sz w:val="32"/>
          <w:szCs w:val="32"/>
          <w:highlight w:val="none"/>
          <w:u w:val="single"/>
          <w:lang w:val="en-US" w:eastAsia="zh-CN"/>
        </w:rPr>
        <w:t>人民币</w:t>
      </w:r>
      <w:r>
        <w:rPr>
          <w:rFonts w:hint="eastAsia" w:ascii="仿宋_GB2312" w:hAnsi="仿宋_GB2312" w:cs="仿宋_GB2312"/>
          <w:color w:val="auto"/>
          <w:sz w:val="32"/>
          <w:szCs w:val="32"/>
          <w:highlight w:val="none"/>
          <w:u w:val="single"/>
          <w:lang w:val="en-US" w:eastAsia="zh-CN"/>
        </w:rPr>
        <w:t xml:space="preserve">     万</w:t>
      </w:r>
      <w:r>
        <w:rPr>
          <w:rFonts w:hint="eastAsia" w:ascii="仿宋_GB2312" w:hAnsi="仿宋_GB2312" w:eastAsia="仿宋_GB2312" w:cs="仿宋_GB2312"/>
          <w:color w:val="auto"/>
          <w:sz w:val="32"/>
          <w:szCs w:val="32"/>
          <w:highlight w:val="none"/>
          <w:u w:val="single"/>
          <w:lang w:val="en-US" w:eastAsia="zh-CN"/>
        </w:rPr>
        <w:t>元整</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cs="仿宋_GB2312"/>
          <w:color w:val="auto"/>
          <w:sz w:val="32"/>
          <w:szCs w:val="32"/>
          <w:highlight w:val="none"/>
          <w:lang w:val="en-US" w:eastAsia="zh-CN"/>
        </w:rPr>
        <w:t>。（2）尾款：剩余50%货款，总计金额为：</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u w:val="single"/>
          <w:lang w:val="en-US" w:eastAsia="zh-CN"/>
        </w:rPr>
        <w:t>元</w:t>
      </w:r>
      <w:r>
        <w:rPr>
          <w:rFonts w:hint="eastAsia" w:ascii="仿宋_GB2312" w:hAnsi="仿宋_GB2312" w:eastAsia="仿宋_GB2312" w:cs="仿宋_GB2312"/>
          <w:color w:val="auto"/>
          <w:sz w:val="32"/>
          <w:szCs w:val="32"/>
          <w:highlight w:val="none"/>
          <w:lang w:val="en-US" w:eastAsia="zh-CN"/>
        </w:rPr>
        <w:t>（大写：</w:t>
      </w:r>
      <w:r>
        <w:rPr>
          <w:rFonts w:hint="eastAsia" w:ascii="仿宋_GB2312" w:hAnsi="仿宋_GB2312" w:eastAsia="仿宋_GB2312" w:cs="仿宋_GB2312"/>
          <w:color w:val="auto"/>
          <w:sz w:val="32"/>
          <w:szCs w:val="32"/>
          <w:highlight w:val="none"/>
          <w:u w:val="single"/>
          <w:lang w:val="en-US" w:eastAsia="zh-CN"/>
        </w:rPr>
        <w:t>人民币</w:t>
      </w:r>
      <w:r>
        <w:rPr>
          <w:rFonts w:hint="eastAsia" w:ascii="仿宋_GB2312" w:hAnsi="仿宋_GB2312" w:cs="仿宋_GB2312"/>
          <w:color w:val="auto"/>
          <w:sz w:val="32"/>
          <w:szCs w:val="32"/>
          <w:highlight w:val="none"/>
          <w:u w:val="single"/>
          <w:lang w:val="en-US" w:eastAsia="zh-CN"/>
        </w:rPr>
        <w:t xml:space="preserve">     万</w:t>
      </w:r>
      <w:r>
        <w:rPr>
          <w:rFonts w:hint="eastAsia" w:ascii="仿宋_GB2312" w:hAnsi="仿宋_GB2312" w:eastAsia="仿宋_GB2312" w:cs="仿宋_GB2312"/>
          <w:color w:val="auto"/>
          <w:sz w:val="32"/>
          <w:szCs w:val="32"/>
          <w:highlight w:val="none"/>
          <w:u w:val="single"/>
          <w:lang w:val="en-US" w:eastAsia="zh-CN"/>
        </w:rPr>
        <w:t>元整</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cs="仿宋_GB2312"/>
          <w:color w:val="auto"/>
          <w:sz w:val="32"/>
          <w:szCs w:val="32"/>
          <w:highlight w:val="none"/>
          <w:lang w:val="en-US" w:eastAsia="zh-CN"/>
        </w:rPr>
        <w:t>，尾款须足额付至乙方指定银行账户，货款实际到账后方可安排汽运自提的方式出库。尾款未到账，出卖人有权不予放货，且不承担任何逾期交货责任。</w:t>
      </w:r>
    </w:p>
    <w:p w14:paraId="2CDDCC93">
      <w:pPr>
        <w:keepNext w:val="0"/>
        <w:keepLines w:val="0"/>
        <w:pageBreakBefore w:val="0"/>
        <w:numPr>
          <w:ilvl w:val="0"/>
          <w:numId w:val="0"/>
        </w:numPr>
        <w:kinsoku/>
        <w:wordWrap/>
        <w:overflowPunct/>
        <w:topLinePunct w:val="0"/>
        <w:bidi w:val="0"/>
        <w:adjustRightInd w:val="0"/>
        <w:snapToGrid w:val="0"/>
        <w:spacing w:line="560" w:lineRule="exact"/>
        <w:ind w:firstLine="640" w:firstLineChars="200"/>
        <w:jc w:val="left"/>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cs="仿宋_GB2312"/>
          <w:color w:val="auto"/>
          <w:sz w:val="32"/>
          <w:szCs w:val="32"/>
          <w:highlight w:val="none"/>
          <w:lang w:val="en-US" w:eastAsia="zh-CN"/>
        </w:rPr>
        <w:t>3.当甲方预付款余额低于人民币</w:t>
      </w:r>
      <w:r>
        <w:rPr>
          <w:rFonts w:hint="eastAsia" w:ascii="仿宋_GB2312" w:hAnsi="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u w:val="single"/>
          <w:lang w:val="en-US" w:eastAsia="zh-CN"/>
        </w:rPr>
        <w:t>元</w:t>
      </w:r>
      <w:r>
        <w:rPr>
          <w:rFonts w:hint="eastAsia" w:ascii="仿宋_GB2312" w:hAnsi="仿宋_GB2312" w:eastAsia="仿宋_GB2312" w:cs="仿宋_GB2312"/>
          <w:color w:val="auto"/>
          <w:sz w:val="32"/>
          <w:szCs w:val="32"/>
          <w:highlight w:val="none"/>
          <w:lang w:val="en-US" w:eastAsia="zh-CN"/>
        </w:rPr>
        <w:t>（大写：</w:t>
      </w:r>
      <w:r>
        <w:rPr>
          <w:rFonts w:hint="eastAsia" w:ascii="仿宋_GB2312" w:hAnsi="仿宋_GB2312" w:eastAsia="仿宋_GB2312" w:cs="仿宋_GB2312"/>
          <w:color w:val="auto"/>
          <w:sz w:val="32"/>
          <w:szCs w:val="32"/>
          <w:highlight w:val="none"/>
          <w:u w:val="single"/>
          <w:lang w:val="en-US" w:eastAsia="zh-CN"/>
        </w:rPr>
        <w:t>人民币</w:t>
      </w:r>
      <w:r>
        <w:rPr>
          <w:rFonts w:hint="eastAsia" w:ascii="仿宋_GB2312" w:hAnsi="仿宋_GB2312" w:cs="仿宋_GB2312"/>
          <w:color w:val="auto"/>
          <w:sz w:val="32"/>
          <w:szCs w:val="32"/>
          <w:highlight w:val="none"/>
          <w:u w:val="single"/>
          <w:lang w:val="en-US" w:eastAsia="zh-CN"/>
        </w:rPr>
        <w:t xml:space="preserve">     万</w:t>
      </w:r>
      <w:r>
        <w:rPr>
          <w:rFonts w:hint="eastAsia" w:ascii="仿宋_GB2312" w:hAnsi="仿宋_GB2312" w:eastAsia="仿宋_GB2312" w:cs="仿宋_GB2312"/>
          <w:color w:val="auto"/>
          <w:sz w:val="32"/>
          <w:szCs w:val="32"/>
          <w:highlight w:val="none"/>
          <w:u w:val="single"/>
          <w:lang w:val="en-US" w:eastAsia="zh-CN"/>
        </w:rPr>
        <w:t>元整</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cs="仿宋_GB2312"/>
          <w:color w:val="auto"/>
          <w:sz w:val="32"/>
          <w:szCs w:val="32"/>
          <w:highlight w:val="none"/>
          <w:u w:val="none"/>
          <w:lang w:val="en-US" w:eastAsia="zh-CN"/>
        </w:rPr>
        <w:t>触发预警线，乙方应书面通知甲方补款。当甲方预付余额低于人民币</w:t>
      </w:r>
      <w:r>
        <w:rPr>
          <w:rFonts w:hint="eastAsia" w:ascii="仿宋_GB2312" w:hAnsi="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u w:val="single"/>
          <w:lang w:val="en-US" w:eastAsia="zh-CN"/>
        </w:rPr>
        <w:t>元</w:t>
      </w:r>
      <w:r>
        <w:rPr>
          <w:rFonts w:hint="eastAsia" w:ascii="仿宋_GB2312" w:hAnsi="仿宋_GB2312" w:eastAsia="仿宋_GB2312" w:cs="仿宋_GB2312"/>
          <w:color w:val="auto"/>
          <w:sz w:val="32"/>
          <w:szCs w:val="32"/>
          <w:highlight w:val="none"/>
          <w:lang w:val="en-US" w:eastAsia="zh-CN"/>
        </w:rPr>
        <w:t>（大写：</w:t>
      </w:r>
      <w:r>
        <w:rPr>
          <w:rFonts w:hint="eastAsia" w:ascii="仿宋_GB2312" w:hAnsi="仿宋_GB2312" w:eastAsia="仿宋_GB2312" w:cs="仿宋_GB2312"/>
          <w:color w:val="auto"/>
          <w:sz w:val="32"/>
          <w:szCs w:val="32"/>
          <w:highlight w:val="none"/>
          <w:u w:val="single"/>
          <w:lang w:val="en-US" w:eastAsia="zh-CN"/>
        </w:rPr>
        <w:t>人民币</w:t>
      </w:r>
      <w:r>
        <w:rPr>
          <w:rFonts w:hint="eastAsia" w:ascii="仿宋_GB2312" w:hAnsi="仿宋_GB2312" w:cs="仿宋_GB2312"/>
          <w:color w:val="auto"/>
          <w:sz w:val="32"/>
          <w:szCs w:val="32"/>
          <w:highlight w:val="none"/>
          <w:u w:val="single"/>
          <w:lang w:val="en-US" w:eastAsia="zh-CN"/>
        </w:rPr>
        <w:t xml:space="preserve">     万</w:t>
      </w:r>
      <w:r>
        <w:rPr>
          <w:rFonts w:hint="eastAsia" w:ascii="仿宋_GB2312" w:hAnsi="仿宋_GB2312" w:eastAsia="仿宋_GB2312" w:cs="仿宋_GB2312"/>
          <w:color w:val="auto"/>
          <w:sz w:val="32"/>
          <w:szCs w:val="32"/>
          <w:highlight w:val="none"/>
          <w:u w:val="single"/>
          <w:lang w:val="en-US" w:eastAsia="zh-CN"/>
        </w:rPr>
        <w:t>元整</w:t>
      </w:r>
      <w:r>
        <w:rPr>
          <w:rFonts w:hint="eastAsia" w:ascii="仿宋_GB2312" w:hAnsi="仿宋_GB2312" w:eastAsia="仿宋_GB2312" w:cs="仿宋_GB2312"/>
          <w:color w:val="auto"/>
          <w:sz w:val="32"/>
          <w:szCs w:val="32"/>
          <w:highlight w:val="none"/>
          <w:lang w:val="en-US" w:eastAsia="zh-CN"/>
        </w:rPr>
        <w:t>）乙方有权</w:t>
      </w:r>
      <w:r>
        <w:rPr>
          <w:rFonts w:hint="eastAsia" w:ascii="仿宋_GB2312" w:hAnsi="仿宋_GB2312" w:cs="仿宋_GB2312"/>
          <w:color w:val="auto"/>
          <w:sz w:val="32"/>
          <w:szCs w:val="32"/>
          <w:highlight w:val="none"/>
          <w:lang w:val="en-US" w:eastAsia="zh-CN"/>
        </w:rPr>
        <w:t>立即</w:t>
      </w:r>
      <w:r>
        <w:rPr>
          <w:rFonts w:hint="eastAsia" w:ascii="仿宋_GB2312" w:hAnsi="仿宋_GB2312" w:eastAsia="仿宋_GB2312" w:cs="仿宋_GB2312"/>
          <w:color w:val="auto"/>
          <w:sz w:val="32"/>
          <w:szCs w:val="32"/>
          <w:highlight w:val="none"/>
          <w:lang w:val="en-US" w:eastAsia="zh-CN"/>
        </w:rPr>
        <w:t>停止供货</w:t>
      </w:r>
      <w:r>
        <w:rPr>
          <w:rFonts w:hint="eastAsia" w:ascii="仿宋_GB2312" w:hAnsi="仿宋_GB2312" w:cs="仿宋_GB2312"/>
          <w:color w:val="auto"/>
          <w:sz w:val="32"/>
          <w:szCs w:val="32"/>
          <w:highlight w:val="none"/>
          <w:lang w:val="en-US" w:eastAsia="zh-CN"/>
        </w:rPr>
        <w:t>，直至甲方将预付款补足至双方约定的安全线以上金额。停止发货期间造成的一切损失由甲方自行承担。</w:t>
      </w:r>
    </w:p>
    <w:p w14:paraId="6EED9012">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合同期间，双方采用</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u w:val="single"/>
          <w:lang w:val="en-US" w:eastAsia="zh-CN"/>
        </w:rPr>
        <w:t>B</w:t>
      </w:r>
      <w:r>
        <w:rPr>
          <w:rFonts w:hint="eastAsia" w:ascii="仿宋_GB2312" w:hAnsi="仿宋_GB2312" w:eastAsia="仿宋_GB2312" w:cs="仿宋_GB2312"/>
          <w:color w:val="auto"/>
          <w:sz w:val="32"/>
          <w:szCs w:val="32"/>
          <w:highlight w:val="none"/>
          <w:u w:val="single"/>
        </w:rPr>
        <w:t xml:space="preserve"> 种方式</w:t>
      </w:r>
      <w:r>
        <w:rPr>
          <w:rFonts w:hint="eastAsia" w:ascii="仿宋_GB2312" w:hAnsi="仿宋_GB2312" w:eastAsia="仿宋_GB2312" w:cs="仿宋_GB2312"/>
          <w:color w:val="auto"/>
          <w:sz w:val="32"/>
          <w:szCs w:val="32"/>
          <w:highlight w:val="none"/>
        </w:rPr>
        <w:t>进行结算。</w:t>
      </w:r>
    </w:p>
    <w:p w14:paraId="44BCA9AD">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A、以自然月为结算周期，每月</w:t>
      </w:r>
      <w:r>
        <w:rPr>
          <w:rFonts w:hint="eastAsia" w:ascii="仿宋_GB2312" w:hAnsi="仿宋_GB2312" w:eastAsia="仿宋_GB2312" w:cs="仿宋_GB2312"/>
          <w:color w:val="auto"/>
          <w:sz w:val="32"/>
          <w:szCs w:val="32"/>
          <w:highlight w:val="none"/>
          <w:u w:val="single"/>
        </w:rPr>
        <w:t xml:space="preserve"> 最后一日</w:t>
      </w:r>
      <w:r>
        <w:rPr>
          <w:rFonts w:hint="eastAsia" w:ascii="仿宋_GB2312" w:hAnsi="仿宋_GB2312" w:eastAsia="仿宋_GB2312" w:cs="仿宋_GB2312"/>
          <w:color w:val="auto"/>
          <w:sz w:val="32"/>
          <w:szCs w:val="32"/>
          <w:highlight w:val="none"/>
        </w:rPr>
        <w:t>为结算截止日，每月</w:t>
      </w:r>
      <w:r>
        <w:rPr>
          <w:rFonts w:hint="eastAsia" w:ascii="仿宋_GB2312" w:hAnsi="仿宋_GB2312" w:eastAsia="仿宋_GB2312" w:cs="仿宋_GB2312"/>
          <w:color w:val="auto"/>
          <w:sz w:val="32"/>
          <w:szCs w:val="32"/>
          <w:highlight w:val="none"/>
          <w:u w:val="single"/>
        </w:rPr>
        <w:t xml:space="preserve"> 5 </w:t>
      </w:r>
      <w:r>
        <w:rPr>
          <w:rFonts w:hint="eastAsia" w:ascii="仿宋_GB2312" w:hAnsi="仿宋_GB2312" w:eastAsia="仿宋_GB2312" w:cs="仿宋_GB2312"/>
          <w:color w:val="auto"/>
          <w:sz w:val="32"/>
          <w:szCs w:val="32"/>
          <w:highlight w:val="none"/>
        </w:rPr>
        <w:t>日前双方核对甲方系统出具的对账单完成上月实际交易的数量及金额的结算。</w:t>
      </w:r>
    </w:p>
    <w:p w14:paraId="114FE620">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B、每月</w:t>
      </w:r>
      <w:r>
        <w:rPr>
          <w:rFonts w:hint="eastAsia" w:ascii="仿宋_GB2312" w:hAnsi="仿宋_GB2312" w:eastAsia="仿宋_GB2312" w:cs="仿宋_GB2312"/>
          <w:color w:val="auto"/>
          <w:sz w:val="32"/>
          <w:szCs w:val="32"/>
          <w:highlight w:val="none"/>
          <w:u w:val="single"/>
          <w:lang w:val="en-US" w:eastAsia="zh-CN"/>
        </w:rPr>
        <w:t>最后一</w:t>
      </w:r>
      <w:r>
        <w:rPr>
          <w:rFonts w:hint="eastAsia" w:ascii="仿宋_GB2312" w:hAnsi="仿宋_GB2312" w:eastAsia="仿宋_GB2312" w:cs="仿宋_GB2312"/>
          <w:color w:val="auto"/>
          <w:sz w:val="32"/>
          <w:szCs w:val="32"/>
          <w:highlight w:val="none"/>
          <w:u w:val="single"/>
        </w:rPr>
        <w:t>日</w:t>
      </w:r>
      <w:r>
        <w:rPr>
          <w:rFonts w:hint="eastAsia" w:ascii="仿宋_GB2312" w:hAnsi="仿宋_GB2312" w:eastAsia="仿宋_GB2312" w:cs="仿宋_GB2312"/>
          <w:color w:val="auto"/>
          <w:sz w:val="32"/>
          <w:szCs w:val="32"/>
          <w:highlight w:val="none"/>
        </w:rPr>
        <w:t>为结算截止日，即</w:t>
      </w:r>
      <w:r>
        <w:rPr>
          <w:rFonts w:hint="eastAsia" w:ascii="仿宋_GB2312" w:hAnsi="仿宋_GB2312" w:eastAsia="仿宋_GB2312" w:cs="仿宋_GB2312"/>
          <w:color w:val="auto"/>
          <w:sz w:val="32"/>
          <w:szCs w:val="32"/>
          <w:highlight w:val="none"/>
          <w:lang w:val="en-US" w:eastAsia="zh-CN"/>
        </w:rPr>
        <w:t>本</w:t>
      </w:r>
      <w:r>
        <w:rPr>
          <w:rFonts w:hint="eastAsia" w:ascii="仿宋_GB2312" w:hAnsi="仿宋_GB2312" w:eastAsia="仿宋_GB2312" w:cs="仿宋_GB2312"/>
          <w:color w:val="auto"/>
          <w:sz w:val="32"/>
          <w:szCs w:val="32"/>
          <w:highlight w:val="none"/>
        </w:rPr>
        <w:t>月</w:t>
      </w:r>
      <w:r>
        <w:rPr>
          <w:rFonts w:hint="eastAsia" w:ascii="仿宋_GB2312" w:hAnsi="仿宋_GB2312" w:cs="仿宋_GB2312"/>
          <w:color w:val="auto"/>
          <w:sz w:val="32"/>
          <w:szCs w:val="32"/>
          <w:highlight w:val="none"/>
          <w:u w:val="single"/>
          <w:lang w:val="en-US" w:eastAsia="zh-CN"/>
        </w:rPr>
        <w:t xml:space="preserve"> 一 </w:t>
      </w:r>
      <w:r>
        <w:rPr>
          <w:rFonts w:hint="eastAsia" w:ascii="仿宋_GB2312" w:hAnsi="仿宋_GB2312" w:eastAsia="仿宋_GB2312" w:cs="仿宋_GB2312"/>
          <w:color w:val="auto"/>
          <w:sz w:val="32"/>
          <w:szCs w:val="32"/>
          <w:highlight w:val="none"/>
        </w:rPr>
        <w:t>日至本月</w:t>
      </w:r>
      <w:r>
        <w:rPr>
          <w:rFonts w:hint="eastAsia" w:ascii="仿宋_GB2312" w:hAnsi="仿宋_GB2312" w:eastAsia="仿宋_GB2312" w:cs="仿宋_GB2312"/>
          <w:color w:val="auto"/>
          <w:sz w:val="32"/>
          <w:szCs w:val="32"/>
          <w:highlight w:val="none"/>
          <w:u w:val="single"/>
          <w:lang w:val="en-US" w:eastAsia="zh-CN"/>
        </w:rPr>
        <w:t>最后一</w:t>
      </w:r>
      <w:r>
        <w:rPr>
          <w:rFonts w:hint="eastAsia" w:ascii="仿宋_GB2312" w:hAnsi="仿宋_GB2312" w:eastAsia="仿宋_GB2312" w:cs="仿宋_GB2312"/>
          <w:color w:val="auto"/>
          <w:sz w:val="32"/>
          <w:szCs w:val="32"/>
          <w:highlight w:val="none"/>
          <w:u w:val="single"/>
        </w:rPr>
        <w:t>日</w:t>
      </w:r>
      <w:r>
        <w:rPr>
          <w:rFonts w:hint="eastAsia" w:ascii="仿宋_GB2312" w:hAnsi="仿宋_GB2312" w:eastAsia="仿宋_GB2312" w:cs="仿宋_GB2312"/>
          <w:color w:val="auto"/>
          <w:sz w:val="32"/>
          <w:szCs w:val="32"/>
          <w:highlight w:val="none"/>
        </w:rPr>
        <w:t>为一个结算周期，</w:t>
      </w:r>
      <w:r>
        <w:rPr>
          <w:rFonts w:hint="eastAsia" w:ascii="仿宋_GB2312" w:hAnsi="仿宋_GB2312" w:eastAsia="仿宋_GB2312" w:cs="仿宋_GB2312"/>
          <w:color w:val="auto"/>
          <w:sz w:val="32"/>
          <w:szCs w:val="32"/>
          <w:highlight w:val="none"/>
          <w:lang w:val="en-US" w:eastAsia="zh-CN"/>
        </w:rPr>
        <w:t>次</w:t>
      </w:r>
      <w:r>
        <w:rPr>
          <w:rFonts w:hint="eastAsia" w:ascii="仿宋_GB2312" w:hAnsi="仿宋_GB2312" w:eastAsia="仿宋_GB2312" w:cs="仿宋_GB2312"/>
          <w:color w:val="auto"/>
          <w:sz w:val="32"/>
          <w:szCs w:val="32"/>
          <w:highlight w:val="none"/>
        </w:rPr>
        <w:t>月</w:t>
      </w:r>
      <w:r>
        <w:rPr>
          <w:rFonts w:hint="eastAsia" w:ascii="仿宋_GB2312" w:hAnsi="仿宋_GB2312" w:cs="仿宋_GB2312"/>
          <w:color w:val="auto"/>
          <w:sz w:val="32"/>
          <w:szCs w:val="32"/>
          <w:highlight w:val="none"/>
          <w:u w:val="single"/>
          <w:lang w:val="en-US" w:eastAsia="zh-CN"/>
        </w:rPr>
        <w:t xml:space="preserve"> 一 </w:t>
      </w:r>
      <w:r>
        <w:rPr>
          <w:rFonts w:hint="eastAsia" w:ascii="仿宋_GB2312" w:hAnsi="仿宋_GB2312" w:eastAsia="仿宋_GB2312" w:cs="仿宋_GB2312"/>
          <w:color w:val="auto"/>
          <w:sz w:val="32"/>
          <w:szCs w:val="32"/>
          <w:highlight w:val="none"/>
        </w:rPr>
        <w:t>日前双方核对</w:t>
      </w:r>
      <w:r>
        <w:rPr>
          <w:rFonts w:hint="eastAsia" w:ascii="仿宋_GB2312" w:hAnsi="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rPr>
        <w:t>方系统出具的对账单完成上一结算周期内实际交易的数量及金额的结算。</w:t>
      </w:r>
    </w:p>
    <w:p w14:paraId="1A86CF78">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合同履行完毕后，若</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方预付款仍有剩余</w:t>
      </w:r>
      <w:r>
        <w:rPr>
          <w:rFonts w:hint="eastAsia" w:ascii="仿宋_GB2312" w:hAnsi="仿宋_GB2312" w:eastAsia="仿宋_GB2312" w:cs="仿宋_GB2312"/>
          <w:color w:val="auto"/>
          <w:sz w:val="32"/>
          <w:szCs w:val="32"/>
          <w:highlight w:val="none"/>
          <w:lang w:val="en-US" w:eastAsia="zh-CN"/>
        </w:rPr>
        <w:t>且不再继续续约</w:t>
      </w:r>
      <w:r>
        <w:rPr>
          <w:rFonts w:hint="eastAsia" w:ascii="仿宋_GB2312" w:hAnsi="仿宋_GB2312" w:eastAsia="仿宋_GB2312" w:cs="仿宋_GB2312"/>
          <w:color w:val="auto"/>
          <w:sz w:val="32"/>
          <w:szCs w:val="32"/>
          <w:highlight w:val="none"/>
        </w:rPr>
        <w:t>，</w:t>
      </w:r>
      <w:r>
        <w:rPr>
          <w:rFonts w:hint="eastAsia" w:ascii="仿宋_GB2312" w:hAnsi="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rPr>
        <w:t>方于最终结算完毕后30日内无息退还。</w:t>
      </w:r>
    </w:p>
    <w:p w14:paraId="5227FB1C">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cs="仿宋_GB2312"/>
          <w:color w:val="auto"/>
          <w:sz w:val="32"/>
          <w:szCs w:val="32"/>
          <w:highlight w:val="none"/>
          <w:lang w:val="en-US" w:eastAsia="zh-CN"/>
        </w:rPr>
        <w:t>6.甲</w:t>
      </w:r>
      <w:r>
        <w:rPr>
          <w:rFonts w:hint="eastAsia" w:ascii="仿宋_GB2312" w:hAnsi="仿宋_GB2312" w:eastAsia="仿宋_GB2312" w:cs="仿宋_GB2312"/>
          <w:color w:val="auto"/>
          <w:sz w:val="32"/>
          <w:szCs w:val="32"/>
          <w:highlight w:val="none"/>
        </w:rPr>
        <w:t>方</w:t>
      </w:r>
      <w:r>
        <w:rPr>
          <w:rFonts w:hint="eastAsia" w:ascii="仿宋_GB2312" w:hAnsi="仿宋_GB2312" w:eastAsia="仿宋_GB2312" w:cs="仿宋_GB2312"/>
          <w:color w:val="auto"/>
          <w:sz w:val="32"/>
          <w:szCs w:val="32"/>
          <w:highlight w:val="none"/>
          <w:lang w:val="en-US" w:eastAsia="zh-CN"/>
        </w:rPr>
        <w:t>使</w:t>
      </w:r>
      <w:r>
        <w:rPr>
          <w:rFonts w:hint="eastAsia" w:ascii="仿宋_GB2312" w:hAnsi="仿宋_GB2312" w:eastAsia="仿宋_GB2312" w:cs="仿宋_GB2312"/>
          <w:color w:val="auto"/>
          <w:sz w:val="32"/>
          <w:szCs w:val="32"/>
          <w:highlight w:val="none"/>
        </w:rPr>
        <w:t>用</w:t>
      </w:r>
      <w:r>
        <w:rPr>
          <w:rFonts w:hint="eastAsia" w:ascii="仿宋_GB2312" w:hAnsi="仿宋_GB2312" w:eastAsia="仿宋_GB2312" w:cs="仿宋_GB2312"/>
          <w:color w:val="auto"/>
          <w:sz w:val="32"/>
          <w:szCs w:val="32"/>
          <w:highlight w:val="none"/>
          <w:lang w:val="en-US" w:eastAsia="zh-CN"/>
        </w:rPr>
        <w:t>银行</w:t>
      </w:r>
      <w:r>
        <w:rPr>
          <w:rFonts w:hint="eastAsia" w:ascii="仿宋_GB2312" w:hAnsi="仿宋_GB2312" w:eastAsia="仿宋_GB2312" w:cs="仿宋_GB2312"/>
          <w:color w:val="auto"/>
          <w:sz w:val="32"/>
          <w:szCs w:val="32"/>
          <w:highlight w:val="none"/>
        </w:rPr>
        <w:t>转账方式预付货款：</w:t>
      </w:r>
    </w:p>
    <w:p w14:paraId="2F02FFCD">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若</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方委托第三方付款或接受第三方代其付款，则须向</w:t>
      </w:r>
      <w:r>
        <w:rPr>
          <w:rFonts w:hint="eastAsia" w:ascii="仿宋_GB2312" w:hAnsi="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rPr>
        <w:t>方提供由付款委托、受托双方共同签字盖章确认的书面委托证明。</w:t>
      </w:r>
    </w:p>
    <w:p w14:paraId="049709F9">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关于发票</w:t>
      </w:r>
    </w:p>
    <w:p w14:paraId="0626A41D">
      <w:pPr>
        <w:keepNext w:val="0"/>
        <w:keepLines w:val="0"/>
        <w:pageBreakBefore w:val="0"/>
        <w:widowControl/>
        <w:kinsoku/>
        <w:wordWrap/>
        <w:overflowPunct/>
        <w:topLinePunct w:val="0"/>
        <w:bidi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rPr>
        <w:t>方按结算价向</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方提供</w:t>
      </w:r>
      <w:r>
        <w:rPr>
          <w:rFonts w:hint="eastAsia" w:ascii="仿宋_GB2312" w:hAnsi="仿宋_GB2312" w:cs="仿宋_GB2312"/>
          <w:color w:val="auto"/>
          <w:sz w:val="32"/>
          <w:szCs w:val="32"/>
          <w:highlight w:val="none"/>
          <w:lang w:val="en-US" w:eastAsia="zh-CN"/>
        </w:rPr>
        <w:t>骨料</w:t>
      </w:r>
      <w:r>
        <w:rPr>
          <w:rFonts w:hint="eastAsia" w:ascii="仿宋_GB2312" w:hAnsi="仿宋_GB2312" w:eastAsia="仿宋_GB2312" w:cs="仿宋_GB2312"/>
          <w:color w:val="auto"/>
          <w:sz w:val="32"/>
          <w:szCs w:val="32"/>
          <w:highlight w:val="none"/>
        </w:rPr>
        <w:t>货物</w:t>
      </w:r>
      <w:r>
        <w:rPr>
          <w:rFonts w:hint="eastAsia" w:ascii="仿宋_GB2312" w:hAnsi="仿宋_GB2312" w:cs="仿宋_GB2312"/>
          <w:color w:val="auto"/>
          <w:sz w:val="32"/>
          <w:szCs w:val="32"/>
          <w:highlight w:val="none"/>
          <w:u w:val="single"/>
          <w:lang w:val="en-US" w:eastAsia="zh-CN"/>
        </w:rPr>
        <w:t xml:space="preserve">    </w:t>
      </w:r>
      <w:r>
        <w:rPr>
          <w:rFonts w:hint="eastAsia" w:ascii="仿宋_GB2312" w:hAnsi="仿宋_GB2312" w:cs="仿宋_GB2312"/>
          <w:b w:val="0"/>
          <w:bCs w:val="0"/>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rPr>
        <w:t>增值税专用/普通（二选一）发票，</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方开具发票的要求应在提货之日起的三个月内提出，避免延迟。在合同履行过程中，如国家增值税税率政策发生变化的，则按照新的政策执行。</w:t>
      </w:r>
    </w:p>
    <w:p w14:paraId="1DF03D51">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若</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方要求开具骨料产品增值税专用发票，则须向</w:t>
      </w:r>
      <w:r>
        <w:rPr>
          <w:rFonts w:hint="eastAsia" w:ascii="仿宋_GB2312" w:hAnsi="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rPr>
        <w:t>方提供加盖单位公章含有以下信息的开票资料：</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方名称、纳税人识别号或统一社会信用代码、地址、电话、开户行及账号信息。</w:t>
      </w:r>
      <w:r>
        <w:rPr>
          <w:rFonts w:hint="eastAsia" w:ascii="仿宋_GB2312" w:hAnsi="仿宋_GB2312" w:eastAsia="仿宋_GB2312" w:cs="仿宋_GB2312"/>
          <w:b/>
          <w:color w:val="auto"/>
          <w:sz w:val="32"/>
          <w:szCs w:val="32"/>
          <w:highlight w:val="none"/>
        </w:rPr>
        <w:t>（开具专票</w:t>
      </w:r>
      <w:r>
        <w:rPr>
          <w:rFonts w:hint="eastAsia" w:ascii="仿宋_GB2312" w:hAnsi="仿宋_GB2312" w:eastAsia="仿宋_GB2312" w:cs="仿宋_GB2312"/>
          <w:b/>
          <w:bCs/>
          <w:color w:val="auto"/>
          <w:sz w:val="32"/>
          <w:szCs w:val="32"/>
          <w:highlight w:val="none"/>
        </w:rPr>
        <w:t>时</w:t>
      </w:r>
      <w:r>
        <w:rPr>
          <w:rFonts w:hint="eastAsia" w:ascii="仿宋_GB2312" w:hAnsi="仿宋_GB2312" w:eastAsia="仿宋_GB2312" w:cs="仿宋_GB2312"/>
          <w:b/>
          <w:color w:val="auto"/>
          <w:sz w:val="32"/>
          <w:szCs w:val="32"/>
          <w:highlight w:val="none"/>
        </w:rPr>
        <w:t>选用）</w:t>
      </w:r>
    </w:p>
    <w:p w14:paraId="7CEF85DD">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若</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方（非企业除外）要求开具骨料产品增值税普通发票的，则须向</w:t>
      </w:r>
      <w:r>
        <w:rPr>
          <w:rFonts w:hint="eastAsia" w:ascii="仿宋_GB2312" w:hAnsi="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rPr>
        <w:t>方提供加盖单位公章含有以下信息的开票资料：</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方名称、纳税人识别号或统一社会信用代码。</w:t>
      </w:r>
      <w:r>
        <w:rPr>
          <w:rFonts w:hint="eastAsia" w:ascii="仿宋_GB2312" w:hAnsi="仿宋_GB2312" w:eastAsia="仿宋_GB2312" w:cs="仿宋_GB2312"/>
          <w:b/>
          <w:color w:val="auto"/>
          <w:sz w:val="32"/>
          <w:szCs w:val="32"/>
          <w:highlight w:val="none"/>
        </w:rPr>
        <w:t>（开具普票</w:t>
      </w:r>
      <w:r>
        <w:rPr>
          <w:rFonts w:hint="eastAsia" w:ascii="仿宋_GB2312" w:hAnsi="仿宋_GB2312" w:eastAsia="仿宋_GB2312" w:cs="仿宋_GB2312"/>
          <w:b/>
          <w:bCs/>
          <w:color w:val="auto"/>
          <w:sz w:val="32"/>
          <w:szCs w:val="32"/>
          <w:highlight w:val="none"/>
        </w:rPr>
        <w:t>时</w:t>
      </w:r>
      <w:r>
        <w:rPr>
          <w:rFonts w:hint="eastAsia" w:ascii="仿宋_GB2312" w:hAnsi="仿宋_GB2312" w:eastAsia="仿宋_GB2312" w:cs="仿宋_GB2312"/>
          <w:b/>
          <w:color w:val="auto"/>
          <w:sz w:val="32"/>
          <w:szCs w:val="32"/>
          <w:highlight w:val="none"/>
        </w:rPr>
        <w:t>选用）</w:t>
      </w:r>
    </w:p>
    <w:p w14:paraId="44127786">
      <w:pPr>
        <w:keepNext w:val="0"/>
        <w:keepLines w:val="0"/>
        <w:pageBreakBefore w:val="0"/>
        <w:kinsoku/>
        <w:wordWrap/>
        <w:overflowPunct/>
        <w:topLinePunct w:val="0"/>
        <w:bidi w:val="0"/>
        <w:adjustRightInd w:val="0"/>
        <w:snapToGrid w:val="0"/>
        <w:spacing w:line="560" w:lineRule="exact"/>
        <w:ind w:firstLine="643" w:firstLineChars="200"/>
        <w:jc w:val="left"/>
        <w:textAlignment w:val="auto"/>
        <w:rPr>
          <w:rFonts w:hint="default" w:ascii="仿宋_GB2312" w:hAnsi="仿宋_GB2312" w:eastAsia="仿宋_GB2312" w:cs="仿宋_GB2312"/>
          <w:b/>
          <w:color w:val="auto"/>
          <w:sz w:val="32"/>
          <w:szCs w:val="32"/>
          <w:highlight w:val="none"/>
          <w:lang w:val="en-US" w:eastAsia="zh-CN"/>
        </w:rPr>
      </w:pPr>
      <w:r>
        <w:rPr>
          <w:rFonts w:hint="eastAsia" w:ascii="仿宋_GB2312" w:hAnsi="仿宋_GB2312" w:eastAsia="仿宋_GB2312" w:cs="仿宋_GB2312"/>
          <w:b/>
          <w:color w:val="auto"/>
          <w:sz w:val="32"/>
          <w:szCs w:val="32"/>
          <w:highlight w:val="none"/>
        </w:rPr>
        <w:t>七、</w:t>
      </w:r>
      <w:r>
        <w:rPr>
          <w:rFonts w:hint="eastAsia" w:ascii="仿宋_GB2312" w:hAnsi="仿宋_GB2312" w:cs="仿宋_GB2312"/>
          <w:b/>
          <w:color w:val="auto"/>
          <w:sz w:val="32"/>
          <w:szCs w:val="32"/>
          <w:highlight w:val="none"/>
          <w:lang w:val="en-US" w:eastAsia="zh-CN"/>
        </w:rPr>
        <w:t>甲方的权利与义务</w:t>
      </w:r>
    </w:p>
    <w:p w14:paraId="0E156C04">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方应当遵守</w:t>
      </w:r>
      <w:r>
        <w:rPr>
          <w:rFonts w:hint="eastAsia" w:ascii="仿宋_GB2312" w:hAnsi="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rPr>
        <w:t>方矿区安全管理规定，采取合理的措施保障自身的安全生产，并承担因</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方的原因导致发生的安全生产事故责任。若因</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方违约行为导致发生安全事故、环境污染事件或给</w:t>
      </w:r>
      <w:r>
        <w:rPr>
          <w:rFonts w:hint="eastAsia" w:ascii="仿宋_GB2312" w:hAnsi="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rPr>
        <w:t>方及第三方造成任何损失（包括但不限于人身伤亡、财产损失、行政处罚等），</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方应承担全部赔偿责任，并承担由此引发的法律后果。</w:t>
      </w:r>
      <w:r>
        <w:rPr>
          <w:rFonts w:hint="eastAsia" w:ascii="仿宋_GB2312" w:hAnsi="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rPr>
        <w:t>方有权在</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方支付的货款或定金中扣除相应的赔偿金额及违约金，不足部分</w:t>
      </w:r>
      <w:r>
        <w:rPr>
          <w:rFonts w:hint="eastAsia" w:ascii="仿宋_GB2312" w:hAnsi="仿宋_GB2312" w:cs="仿宋_GB2312"/>
          <w:color w:val="auto"/>
          <w:sz w:val="32"/>
          <w:szCs w:val="32"/>
          <w:highlight w:val="none"/>
          <w:lang w:val="en-US" w:eastAsia="zh-CN"/>
        </w:rPr>
        <w:t>甲方</w:t>
      </w:r>
      <w:r>
        <w:rPr>
          <w:rFonts w:hint="eastAsia" w:ascii="仿宋_GB2312" w:hAnsi="仿宋_GB2312" w:eastAsia="仿宋_GB2312" w:cs="仿宋_GB2312"/>
          <w:color w:val="auto"/>
          <w:sz w:val="32"/>
          <w:szCs w:val="32"/>
          <w:highlight w:val="none"/>
        </w:rPr>
        <w:t>应另行支付</w:t>
      </w:r>
      <w:r>
        <w:rPr>
          <w:rFonts w:hint="eastAsia" w:ascii="仿宋_GB2312" w:hAnsi="仿宋_GB2312" w:eastAsia="仿宋_GB2312" w:cs="仿宋_GB2312"/>
          <w:color w:val="auto"/>
          <w:sz w:val="32"/>
          <w:szCs w:val="32"/>
          <w:highlight w:val="none"/>
          <w:lang w:eastAsia="zh-CN"/>
        </w:rPr>
        <w:t>。</w:t>
      </w:r>
    </w:p>
    <w:p w14:paraId="1C047348">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方自行负责货物运输，并承担货物运输过程中所发生的一切风险责任及费用，包括但不限于承担安全事故责任（含第三方事故责任）、环境污染责任与费用等，涉及道路使用、供水、供电等事宜，</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方需与相关权益人自行协商解决。</w:t>
      </w:r>
    </w:p>
    <w:p w14:paraId="48B26497">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rPr>
      </w:pPr>
      <w:r>
        <w:rPr>
          <w:rFonts w:hint="eastAsia" w:ascii="仿宋_GB2312" w:hAnsi="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方车辆调度需提前24小时向</w:t>
      </w:r>
      <w:r>
        <w:rPr>
          <w:rFonts w:hint="eastAsia" w:ascii="仿宋_GB2312" w:hAnsi="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rPr>
        <w:t>方提交书面运输计划，乙方提货安排、车辆调度等必须严格遵守甲方的相关管理规章制度及统一安排。</w:t>
      </w:r>
    </w:p>
    <w:p w14:paraId="28903CD9">
      <w:pPr>
        <w:keepNext w:val="0"/>
        <w:keepLines w:val="0"/>
        <w:pageBreakBefore w:val="0"/>
        <w:numPr>
          <w:ilvl w:val="0"/>
          <w:numId w:val="3"/>
        </w:numPr>
        <w:kinsoku/>
        <w:wordWrap/>
        <w:overflowPunct/>
        <w:topLinePunct w:val="0"/>
        <w:bidi w:val="0"/>
        <w:adjustRightInd w:val="0"/>
        <w:snapToGrid w:val="0"/>
        <w:spacing w:line="560" w:lineRule="exact"/>
        <w:ind w:firstLine="643" w:firstLineChars="200"/>
        <w:jc w:val="left"/>
        <w:textAlignment w:val="auto"/>
        <w:outlineLvl w:val="0"/>
        <w:rPr>
          <w:rFonts w:hint="eastAsia" w:ascii="仿宋_GB2312" w:hAnsi="仿宋_GB2312" w:eastAsia="仿宋_GB2312" w:cs="仿宋_GB2312"/>
          <w:b/>
          <w:color w:val="auto"/>
          <w:sz w:val="32"/>
          <w:szCs w:val="32"/>
          <w:highlight w:val="none"/>
        </w:rPr>
      </w:pPr>
      <w:r>
        <w:rPr>
          <w:rFonts w:hint="eastAsia" w:ascii="仿宋_GB2312" w:hAnsi="仿宋_GB2312" w:cs="仿宋_GB2312"/>
          <w:b/>
          <w:color w:val="auto"/>
          <w:sz w:val="32"/>
          <w:szCs w:val="32"/>
          <w:highlight w:val="none"/>
          <w:lang w:val="en-US" w:eastAsia="zh-CN"/>
        </w:rPr>
        <w:t>乙方的权利与义务</w:t>
      </w:r>
    </w:p>
    <w:p w14:paraId="4D9E9AF3">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lang w:val="en-US" w:eastAsia="zh-CN"/>
        </w:rPr>
        <w:t>方有权按照本合同的约定向</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lang w:val="en-US" w:eastAsia="zh-CN"/>
        </w:rPr>
        <w:t>方收取货款并履行供货义务。</w:t>
      </w:r>
    </w:p>
    <w:p w14:paraId="2BC8D22A">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lang w:val="en-US" w:eastAsia="zh-CN"/>
        </w:rPr>
        <w:t>方应当依法开采并向</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lang w:val="en-US" w:eastAsia="zh-CN"/>
        </w:rPr>
        <w:t>方销售本合同约定的标的物，同时确保对所销售的石料拥有完整处分权。</w:t>
      </w:r>
    </w:p>
    <w:p w14:paraId="64DA989B">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lang w:val="en-US" w:eastAsia="zh-CN"/>
        </w:rPr>
        <w:t>方应当按约定时间交付符合质量标准的石料，不得以任何理由单方面提高石料单价（</w:t>
      </w:r>
      <w:r>
        <w:rPr>
          <w:rFonts w:hint="eastAsia" w:ascii="仿宋_GB2312" w:hAnsi="仿宋_GB2312" w:cs="仿宋_GB2312"/>
          <w:color w:val="auto"/>
          <w:sz w:val="32"/>
          <w:szCs w:val="32"/>
          <w:highlight w:val="none"/>
          <w:u w:val="none"/>
          <w:lang w:val="en-US" w:eastAsia="zh-CN"/>
        </w:rPr>
        <w:t>碎石</w:t>
      </w:r>
      <w:r>
        <w:rPr>
          <w:rFonts w:hint="eastAsia" w:ascii="仿宋_GB2312" w:hAnsi="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元/吨为固定</w:t>
      </w:r>
      <w:r>
        <w:rPr>
          <w:rFonts w:hint="eastAsia" w:ascii="仿宋_GB2312" w:hAnsi="仿宋_GB2312" w:cs="仿宋_GB2312"/>
          <w:color w:val="auto"/>
          <w:sz w:val="32"/>
          <w:szCs w:val="32"/>
          <w:highlight w:val="none"/>
          <w:u w:val="none"/>
          <w:lang w:val="en-US" w:eastAsia="zh-CN"/>
        </w:rPr>
        <w:t>单</w:t>
      </w:r>
      <w:r>
        <w:rPr>
          <w:rFonts w:hint="eastAsia" w:ascii="仿宋_GB2312" w:hAnsi="仿宋_GB2312" w:eastAsia="仿宋_GB2312" w:cs="仿宋_GB2312"/>
          <w:color w:val="auto"/>
          <w:sz w:val="32"/>
          <w:szCs w:val="32"/>
          <w:highlight w:val="none"/>
          <w:u w:val="none"/>
          <w:lang w:val="en-US" w:eastAsia="zh-CN"/>
        </w:rPr>
        <w:t>价）。</w:t>
      </w:r>
    </w:p>
    <w:p w14:paraId="54F31753">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lang w:val="en-US" w:eastAsia="zh-CN"/>
        </w:rPr>
        <w:t>方应当严格按照相关法律法规的规定管理矿区内的生产区域，采取合理的措施保障安全生产，并承担因</w:t>
      </w:r>
      <w:r>
        <w:rPr>
          <w:rFonts w:hint="eastAsia" w:ascii="仿宋_GB2312" w:hAnsi="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lang w:val="en-US" w:eastAsia="zh-CN"/>
        </w:rPr>
        <w:t>方的原因导致发生的安全生产事故责任。</w:t>
      </w:r>
    </w:p>
    <w:p w14:paraId="0E11A042">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lang w:val="en-US" w:eastAsia="zh-CN"/>
        </w:rPr>
        <w:t>方应确保矿区至指定运输起点（或</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lang w:val="en-US" w:eastAsia="zh-CN"/>
        </w:rPr>
        <w:t>方提货点）的道路在</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lang w:val="en-US" w:eastAsia="zh-CN"/>
        </w:rPr>
        <w:t>方提货运矿期间保持通畅。道路应具备足够的承载能力，能够满足乙方运输车辆的通行需求，包括但不限于车辆的吨位、轴距、尺寸等。</w:t>
      </w:r>
    </w:p>
    <w:p w14:paraId="25EE9EF2">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default" w:ascii="仿宋_GB2312" w:hAnsi="仿宋_GB2312" w:cs="仿宋_GB2312"/>
          <w:color w:val="auto"/>
          <w:sz w:val="32"/>
          <w:szCs w:val="32"/>
          <w:highlight w:val="none"/>
          <w:lang w:val="en-US" w:eastAsia="zh-CN"/>
        </w:rPr>
      </w:pPr>
      <w:r>
        <w:rPr>
          <w:rFonts w:hint="eastAsia" w:ascii="仿宋_GB2312" w:hAnsi="仿宋_GB2312" w:cs="仿宋_GB2312"/>
          <w:color w:val="auto"/>
          <w:sz w:val="32"/>
          <w:szCs w:val="32"/>
          <w:highlight w:val="none"/>
          <w:lang w:val="en-US" w:eastAsia="zh-CN"/>
        </w:rPr>
        <w:t>6、独家供应：</w:t>
      </w:r>
    </w:p>
    <w:p w14:paraId="1E409195">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cs="仿宋_GB2312"/>
          <w:color w:val="auto"/>
          <w:sz w:val="32"/>
          <w:szCs w:val="32"/>
          <w:highlight w:val="none"/>
          <w:lang w:val="en-US" w:eastAsia="zh-CN"/>
        </w:rPr>
        <w:t>（1）乙</w:t>
      </w:r>
      <w:r>
        <w:rPr>
          <w:rFonts w:hint="eastAsia" w:ascii="仿宋_GB2312" w:hAnsi="仿宋_GB2312" w:eastAsia="仿宋_GB2312" w:cs="仿宋_GB2312"/>
          <w:color w:val="auto"/>
          <w:sz w:val="32"/>
          <w:szCs w:val="32"/>
          <w:highlight w:val="none"/>
          <w:lang w:val="en-US" w:eastAsia="zh-CN"/>
        </w:rPr>
        <w:t>方承诺在本协议有效期</w:t>
      </w:r>
      <w:r>
        <w:rPr>
          <w:rFonts w:hint="eastAsia" w:ascii="仿宋_GB2312" w:hAnsi="仿宋_GB2312" w:cs="仿宋_GB2312"/>
          <w:color w:val="auto"/>
          <w:sz w:val="32"/>
          <w:szCs w:val="32"/>
          <w:highlight w:val="none"/>
          <w:lang w:val="en-US" w:eastAsia="zh-CN"/>
        </w:rPr>
        <w:t>一年</w:t>
      </w:r>
      <w:r>
        <w:rPr>
          <w:rFonts w:hint="eastAsia" w:ascii="仿宋_GB2312" w:hAnsi="仿宋_GB2312" w:eastAsia="仿宋_GB2312" w:cs="仿宋_GB2312"/>
          <w:color w:val="auto"/>
          <w:sz w:val="32"/>
          <w:szCs w:val="32"/>
          <w:highlight w:val="none"/>
          <w:lang w:val="en-US" w:eastAsia="zh-CN"/>
        </w:rPr>
        <w:t>内，其拥有的海南省儋州市大成镇西培农场端门岭矿区所产花岗岩矿</w:t>
      </w:r>
      <w:r>
        <w:rPr>
          <w:rFonts w:hint="eastAsia" w:ascii="仿宋_GB2312" w:hAnsi="仿宋_GB2312" w:cs="仿宋_GB2312"/>
          <w:color w:val="auto"/>
          <w:sz w:val="32"/>
          <w:szCs w:val="32"/>
          <w:highlight w:val="none"/>
          <w:lang w:val="en-US" w:eastAsia="zh-CN"/>
        </w:rPr>
        <w:t>碎石</w:t>
      </w:r>
      <w:r>
        <w:rPr>
          <w:rFonts w:hint="eastAsia" w:ascii="仿宋_GB2312" w:hAnsi="仿宋_GB2312" w:eastAsia="仿宋_GB2312" w:cs="仿宋_GB2312"/>
          <w:color w:val="auto"/>
          <w:sz w:val="32"/>
          <w:szCs w:val="32"/>
          <w:highlight w:val="none"/>
          <w:lang w:val="en-US" w:eastAsia="zh-CN"/>
        </w:rPr>
        <w:t>，在本合同约定的</w:t>
      </w:r>
      <w:r>
        <w:rPr>
          <w:rFonts w:hint="eastAsia" w:ascii="仿宋_GB2312" w:hAnsi="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val="en-US" w:eastAsia="zh-CN"/>
        </w:rPr>
        <w:t>0万吨范围内，仅向</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lang w:val="en-US" w:eastAsia="zh-CN"/>
        </w:rPr>
        <w:t>方独家供应，且在</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lang w:val="en-US" w:eastAsia="zh-CN"/>
        </w:rPr>
        <w:t>方按约定履行提货及付款义务的前提下，优先保障</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lang w:val="en-US" w:eastAsia="zh-CN"/>
        </w:rPr>
        <w:t>方的供货需求。超出本合同数量部分，</w:t>
      </w:r>
      <w:r>
        <w:rPr>
          <w:rFonts w:hint="eastAsia" w:ascii="仿宋_GB2312" w:hAnsi="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lang w:val="en-US" w:eastAsia="zh-CN"/>
        </w:rPr>
        <w:t>方有权自主销售。</w:t>
      </w:r>
    </w:p>
    <w:p w14:paraId="13D519D5">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cs="仿宋_GB2312"/>
          <w:color w:val="auto"/>
          <w:sz w:val="32"/>
          <w:szCs w:val="32"/>
          <w:highlight w:val="none"/>
          <w:lang w:val="en-US" w:eastAsia="zh-CN"/>
        </w:rPr>
      </w:pPr>
      <w:r>
        <w:rPr>
          <w:rFonts w:hint="eastAsia" w:ascii="仿宋_GB2312" w:hAnsi="仿宋_GB2312" w:cs="仿宋_GB2312"/>
          <w:color w:val="auto"/>
          <w:sz w:val="32"/>
          <w:szCs w:val="32"/>
          <w:highlight w:val="none"/>
          <w:lang w:val="en-US" w:eastAsia="zh-CN"/>
        </w:rPr>
        <w:t>（2）为稳定乙方成品骨料市场，避免因甲方囤积或不当销售合同项下碎石导致市场价格异常波动。甲方承诺，其采购的合同项下碎石，应主要用于自身生产经营所需，并应积极投入市场流通，不得为哄抬价格而囤积不售。如对外销售，其销售单价不得超过本合同碎石竞拍成交单价加上人民币</w:t>
      </w:r>
      <w:r>
        <w:rPr>
          <w:rFonts w:hint="eastAsia" w:ascii="仿宋_GB2312" w:hAnsi="仿宋_GB2312" w:cs="仿宋_GB2312"/>
          <w:color w:val="auto"/>
          <w:sz w:val="32"/>
          <w:szCs w:val="32"/>
          <w:highlight w:val="none"/>
          <w:u w:val="single"/>
          <w:lang w:val="en-US" w:eastAsia="zh-CN"/>
        </w:rPr>
        <w:t xml:space="preserve"> 伍 元</w:t>
      </w:r>
      <w:r>
        <w:rPr>
          <w:rFonts w:hint="eastAsia" w:ascii="仿宋_GB2312" w:hAnsi="仿宋_GB2312" w:cs="仿宋_GB2312"/>
          <w:color w:val="auto"/>
          <w:sz w:val="32"/>
          <w:szCs w:val="32"/>
          <w:highlight w:val="none"/>
          <w:lang w:val="en-US" w:eastAsia="zh-CN"/>
        </w:rPr>
        <w:t>/吨的利润空间。</w:t>
      </w:r>
    </w:p>
    <w:p w14:paraId="552FC9A4">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cs="仿宋_GB2312"/>
          <w:color w:val="auto"/>
          <w:sz w:val="32"/>
          <w:szCs w:val="32"/>
          <w:highlight w:val="none"/>
          <w:lang w:val="en-US" w:eastAsia="zh-CN"/>
        </w:rPr>
      </w:pPr>
      <w:r>
        <w:rPr>
          <w:rFonts w:hint="eastAsia" w:ascii="仿宋_GB2312" w:hAnsi="仿宋_GB2312" w:cs="仿宋_GB2312"/>
          <w:color w:val="auto"/>
          <w:sz w:val="32"/>
          <w:szCs w:val="32"/>
          <w:highlight w:val="none"/>
          <w:lang w:val="en-US" w:eastAsia="zh-CN"/>
        </w:rPr>
        <w:t>（3）如乙方发现第三方客户意向购买碎石，而甲方存在囤积或不积极销售之情形的，乙方可向甲方书面介绍该客户，甲方在收到乙方书面介绍通知后，必须在</w:t>
      </w:r>
      <w:r>
        <w:rPr>
          <w:rFonts w:hint="eastAsia" w:ascii="仿宋_GB2312" w:hAnsi="仿宋_GB2312" w:cs="仿宋_GB2312"/>
          <w:color w:val="auto"/>
          <w:sz w:val="32"/>
          <w:szCs w:val="32"/>
          <w:highlight w:val="none"/>
          <w:u w:val="single"/>
          <w:lang w:val="en-US" w:eastAsia="zh-CN"/>
        </w:rPr>
        <w:t xml:space="preserve"> 七 </w:t>
      </w:r>
      <w:r>
        <w:rPr>
          <w:rFonts w:hint="eastAsia" w:ascii="仿宋_GB2312" w:hAnsi="仿宋_GB2312" w:cs="仿宋_GB2312"/>
          <w:color w:val="auto"/>
          <w:sz w:val="32"/>
          <w:szCs w:val="32"/>
          <w:highlight w:val="none"/>
          <w:lang w:val="en-US" w:eastAsia="zh-CN"/>
        </w:rPr>
        <w:t>个工作日内，以不高于上述第（2）款约定的价格与该客户进行诚信磋商并完成销售。</w:t>
      </w:r>
    </w:p>
    <w:p w14:paraId="2986592B">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default" w:eastAsia="仿宋_GB2312"/>
          <w:lang w:val="en-US" w:eastAsia="zh-CN"/>
        </w:rPr>
      </w:pPr>
      <w:r>
        <w:rPr>
          <w:rFonts w:hint="eastAsia" w:ascii="仿宋_GB2312" w:hAnsi="仿宋_GB2312" w:cs="仿宋_GB2312"/>
          <w:color w:val="auto"/>
          <w:sz w:val="32"/>
          <w:szCs w:val="32"/>
          <w:highlight w:val="none"/>
          <w:lang w:val="en-US" w:eastAsia="zh-CN"/>
        </w:rPr>
        <w:t>（4）若甲方无正当理由，拒绝按前款约定价格与乙方介绍客户成交，则视为甲方违约。若甲方违反合同上述第（2）款之承诺，或未能按预定提货或付款，乙方有权自行处置剩余标的物，并要求甲方承担本合同第十二条约定的相应的违约责任。</w:t>
      </w:r>
    </w:p>
    <w:p w14:paraId="0CBA0C6C">
      <w:pPr>
        <w:keepNext w:val="0"/>
        <w:keepLines w:val="0"/>
        <w:pageBreakBefore w:val="0"/>
        <w:numPr>
          <w:ilvl w:val="0"/>
          <w:numId w:val="3"/>
        </w:numPr>
        <w:kinsoku/>
        <w:wordWrap/>
        <w:overflowPunct/>
        <w:topLinePunct w:val="0"/>
        <w:bidi w:val="0"/>
        <w:adjustRightInd w:val="0"/>
        <w:snapToGrid w:val="0"/>
        <w:spacing w:line="560" w:lineRule="exact"/>
        <w:ind w:firstLine="643" w:firstLineChars="200"/>
        <w:jc w:val="left"/>
        <w:textAlignment w:val="auto"/>
        <w:outlineLvl w:val="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所有权及风险转移</w:t>
      </w:r>
    </w:p>
    <w:p w14:paraId="68B2FD21">
      <w:pPr>
        <w:keepNext w:val="0"/>
        <w:keepLines w:val="0"/>
        <w:pageBreakBefore w:val="0"/>
        <w:numPr>
          <w:ilvl w:val="0"/>
          <w:numId w:val="0"/>
        </w:numPr>
        <w:kinsoku/>
        <w:wordWrap/>
        <w:overflowPunct/>
        <w:topLinePunct w:val="0"/>
        <w:bidi w:val="0"/>
        <w:adjustRightInd w:val="0"/>
        <w:snapToGrid w:val="0"/>
        <w:spacing w:line="560" w:lineRule="exact"/>
        <w:ind w:firstLine="640" w:firstLineChars="200"/>
        <w:jc w:val="left"/>
        <w:textAlignment w:val="auto"/>
        <w:outlineLvl w:val="0"/>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1、</w:t>
      </w:r>
      <w:r>
        <w:rPr>
          <w:rFonts w:hint="eastAsia" w:ascii="仿宋_GB2312" w:hAnsi="仿宋_GB2312" w:cs="仿宋_GB2312"/>
          <w:color w:val="auto"/>
          <w:sz w:val="32"/>
          <w:szCs w:val="32"/>
          <w:highlight w:val="none"/>
          <w:lang w:val="en-US" w:eastAsia="zh-CN"/>
        </w:rPr>
        <w:t>在甲方结清某一批次产品的全部款项，过磅前该批次产品的所有权仍属于乙方。甲方付清该批次货款后，所有权自动转移至甲方。</w:t>
      </w:r>
    </w:p>
    <w:p w14:paraId="24D5EF89">
      <w:pPr>
        <w:keepNext w:val="0"/>
        <w:keepLines w:val="0"/>
        <w:pageBreakBefore w:val="0"/>
        <w:kinsoku/>
        <w:wordWrap/>
        <w:overflowPunct/>
        <w:topLinePunct w:val="0"/>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2、产品的毁损、灭失风险自</w:t>
      </w:r>
      <w:r>
        <w:rPr>
          <w:rFonts w:hint="eastAsia" w:ascii="仿宋_GB2312" w:hAnsi="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rPr>
        <w:t>方交付给</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方时发生转移。</w:t>
      </w:r>
      <w:r>
        <w:rPr>
          <w:rFonts w:hint="eastAsia" w:ascii="仿宋_GB2312" w:hAnsi="仿宋_GB2312" w:cs="仿宋_GB2312"/>
          <w:color w:val="auto"/>
          <w:sz w:val="32"/>
          <w:szCs w:val="32"/>
          <w:highlight w:val="none"/>
          <w:lang w:val="en-US" w:eastAsia="zh-CN"/>
        </w:rPr>
        <w:t>所有权保留期间，甲方应妥善保管货物并承担毁损、灭失风险。</w:t>
      </w:r>
    </w:p>
    <w:p w14:paraId="088A0AC2">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b/>
          <w:color w:val="auto"/>
          <w:sz w:val="32"/>
          <w:szCs w:val="32"/>
          <w:highlight w:val="none"/>
        </w:rPr>
        <w:t>第</w:t>
      </w:r>
      <w:r>
        <w:rPr>
          <w:rFonts w:hint="eastAsia" w:ascii="仿宋_GB2312" w:hAnsi="仿宋_GB2312" w:cs="仿宋_GB2312"/>
          <w:b/>
          <w:color w:val="auto"/>
          <w:sz w:val="32"/>
          <w:szCs w:val="32"/>
          <w:highlight w:val="none"/>
          <w:lang w:val="en-US" w:eastAsia="zh-CN"/>
        </w:rPr>
        <w:t>十</w:t>
      </w:r>
      <w:r>
        <w:rPr>
          <w:rFonts w:hint="eastAsia" w:ascii="仿宋_GB2312" w:hAnsi="仿宋_GB2312" w:eastAsia="仿宋_GB2312" w:cs="仿宋_GB2312"/>
          <w:b/>
          <w:color w:val="auto"/>
          <w:sz w:val="32"/>
          <w:szCs w:val="32"/>
          <w:highlight w:val="none"/>
        </w:rPr>
        <w:t>条  合同的变更</w:t>
      </w:r>
    </w:p>
    <w:p w14:paraId="3729BD3D">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1、除本合同另有约定外本合同下的任何条款变更或补充</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须由甲、乙双方协商解决并签订书面补充协议，补充协议与本合同具有同等法律效力。</w:t>
      </w:r>
    </w:p>
    <w:p w14:paraId="2837EAA3">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2、合同期间，在对价格进行调整时，采用</w:t>
      </w:r>
      <w:r>
        <w:rPr>
          <w:rFonts w:hint="eastAsia" w:ascii="仿宋_GB2312" w:hAnsi="仿宋_GB2312" w:eastAsia="仿宋_GB2312" w:cs="仿宋_GB2312"/>
          <w:color w:val="auto"/>
          <w:sz w:val="32"/>
          <w:szCs w:val="32"/>
          <w:highlight w:val="none"/>
          <w:u w:val="single"/>
        </w:rPr>
        <w:t>B</w:t>
      </w:r>
      <w:r>
        <w:rPr>
          <w:rFonts w:hint="eastAsia" w:ascii="仿宋_GB2312" w:hAnsi="仿宋_GB2312" w:eastAsia="仿宋_GB2312" w:cs="仿宋_GB2312"/>
          <w:color w:val="auto"/>
          <w:sz w:val="32"/>
          <w:szCs w:val="32"/>
          <w:highlight w:val="none"/>
        </w:rPr>
        <w:t>种形式进行确认。</w:t>
      </w:r>
    </w:p>
    <w:p w14:paraId="30DE3F20">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color w:val="auto"/>
          <w:sz w:val="32"/>
          <w:szCs w:val="32"/>
          <w:highlight w:val="none"/>
        </w:rPr>
        <w:t>A、电子邮件确认（以此方式确认的，邮箱地址、授权</w:t>
      </w:r>
      <w:r>
        <w:rPr>
          <w:rFonts w:hint="eastAsia" w:ascii="仿宋_GB2312" w:hAnsi="仿宋_GB2312" w:eastAsia="仿宋_GB2312" w:cs="仿宋_GB2312"/>
          <w:bCs/>
          <w:color w:val="auto"/>
          <w:sz w:val="32"/>
          <w:szCs w:val="32"/>
          <w:highlight w:val="none"/>
        </w:rPr>
        <w:t>联系人信息、授权时间及授权范围须经甲乙双方事先书面确认）；</w:t>
      </w:r>
    </w:p>
    <w:p w14:paraId="2ED71117">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B、价格调整确认函，经甲、乙双方签字并盖章确认（乙方对其通过加盖公司公章、合同章确认的价格调整确认函均予以认可，并承担相应的法律后果）。</w:t>
      </w:r>
    </w:p>
    <w:p w14:paraId="4BE27A42">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32"/>
          <w:szCs w:val="32"/>
          <w:highlight w:val="none"/>
        </w:rPr>
        <w:t>若</w:t>
      </w:r>
      <w:r>
        <w:rPr>
          <w:rFonts w:hint="eastAsia" w:ascii="仿宋_GB2312" w:hAnsi="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rPr>
        <w:t>方未</w:t>
      </w:r>
      <w:r>
        <w:rPr>
          <w:rFonts w:hint="eastAsia" w:ascii="仿宋_GB2312" w:hAnsi="仿宋_GB2312" w:eastAsia="仿宋_GB2312" w:cs="仿宋_GB2312"/>
          <w:color w:val="auto"/>
          <w:sz w:val="32"/>
          <w:szCs w:val="32"/>
          <w:highlight w:val="none"/>
          <w:lang w:val="en-US" w:eastAsia="zh-CN"/>
        </w:rPr>
        <w:t>将</w:t>
      </w:r>
      <w:r>
        <w:rPr>
          <w:rFonts w:hint="eastAsia" w:ascii="仿宋_GB2312" w:hAnsi="仿宋_GB2312" w:eastAsia="仿宋_GB2312" w:cs="仿宋_GB2312"/>
          <w:color w:val="auto"/>
          <w:sz w:val="32"/>
          <w:szCs w:val="32"/>
          <w:highlight w:val="none"/>
        </w:rPr>
        <w:t>上述约定的调价方式对价格调整进行确认，但自调价起始日起继续向</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方提货的，视为</w:t>
      </w:r>
      <w:r>
        <w:rPr>
          <w:rFonts w:hint="eastAsia" w:ascii="仿宋_GB2312" w:hAnsi="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rPr>
        <w:t>方已同意价格调整，甲方有权按照调整后的价格进行结算。</w:t>
      </w:r>
    </w:p>
    <w:p w14:paraId="7F8FFD2C">
      <w:pPr>
        <w:keepNext w:val="0"/>
        <w:keepLines w:val="0"/>
        <w:pageBreakBefore w:val="0"/>
        <w:kinsoku/>
        <w:wordWrap/>
        <w:overflowPunct/>
        <w:topLinePunct w:val="0"/>
        <w:bidi w:val="0"/>
        <w:adjustRightInd w:val="0"/>
        <w:snapToGrid w:val="0"/>
        <w:spacing w:line="560" w:lineRule="exact"/>
        <w:ind w:firstLine="643" w:firstLineChars="200"/>
        <w:jc w:val="left"/>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第十</w:t>
      </w:r>
      <w:r>
        <w:rPr>
          <w:rFonts w:hint="eastAsia" w:ascii="仿宋_GB2312" w:hAnsi="仿宋_GB2312" w:cs="仿宋_GB2312"/>
          <w:b/>
          <w:color w:val="auto"/>
          <w:sz w:val="32"/>
          <w:szCs w:val="32"/>
          <w:highlight w:val="none"/>
          <w:lang w:val="en-US" w:eastAsia="zh-CN"/>
        </w:rPr>
        <w:t>一</w:t>
      </w:r>
      <w:r>
        <w:rPr>
          <w:rFonts w:hint="eastAsia" w:ascii="仿宋_GB2312" w:hAnsi="仿宋_GB2312" w:eastAsia="仿宋_GB2312" w:cs="仿宋_GB2312"/>
          <w:b/>
          <w:color w:val="auto"/>
          <w:sz w:val="32"/>
          <w:szCs w:val="32"/>
          <w:highlight w:val="none"/>
        </w:rPr>
        <w:t>条  通</w:t>
      </w:r>
      <w:r>
        <w:rPr>
          <w:rFonts w:hint="eastAsia" w:ascii="仿宋_GB2312" w:hAnsi="仿宋_GB2312" w:cs="仿宋_GB2312"/>
          <w:b/>
          <w:color w:val="auto"/>
          <w:sz w:val="32"/>
          <w:szCs w:val="32"/>
          <w:highlight w:val="none"/>
          <w:lang w:val="en-US" w:eastAsia="zh-CN"/>
        </w:rPr>
        <w:t xml:space="preserve"> </w:t>
      </w:r>
      <w:r>
        <w:rPr>
          <w:rFonts w:hint="eastAsia" w:ascii="仿宋_GB2312" w:hAnsi="仿宋_GB2312" w:eastAsia="仿宋_GB2312" w:cs="仿宋_GB2312"/>
          <w:b/>
          <w:color w:val="auto"/>
          <w:sz w:val="32"/>
          <w:szCs w:val="32"/>
          <w:highlight w:val="none"/>
        </w:rPr>
        <w:t>知</w:t>
      </w:r>
    </w:p>
    <w:p w14:paraId="61D06A43">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lang w:val="en-GB"/>
        </w:rPr>
      </w:pPr>
      <w:r>
        <w:rPr>
          <w:rFonts w:hint="eastAsia" w:ascii="仿宋_GB2312" w:hAnsi="仿宋_GB2312" w:eastAsia="仿宋_GB2312" w:cs="仿宋_GB2312"/>
          <w:color w:val="auto"/>
          <w:sz w:val="32"/>
          <w:szCs w:val="32"/>
          <w:highlight w:val="none"/>
          <w:lang w:val="en-GB"/>
        </w:rPr>
        <w:t>1、本合同履行期间，甲、乙双方所有的通讯联络应以</w:t>
      </w:r>
      <w:r>
        <w:rPr>
          <w:rFonts w:hint="eastAsia" w:ascii="仿宋_GB2312" w:hAnsi="仿宋_GB2312" w:eastAsia="仿宋_GB2312" w:cs="仿宋_GB2312"/>
          <w:color w:val="auto"/>
          <w:sz w:val="32"/>
          <w:szCs w:val="32"/>
          <w:highlight w:val="none"/>
        </w:rPr>
        <w:t>包括</w:t>
      </w:r>
      <w:r>
        <w:rPr>
          <w:rFonts w:hint="eastAsia" w:ascii="仿宋_GB2312" w:hAnsi="仿宋_GB2312" w:eastAsia="仿宋_GB2312" w:cs="仿宋_GB2312"/>
          <w:color w:val="auto"/>
          <w:sz w:val="32"/>
          <w:szCs w:val="32"/>
          <w:highlight w:val="none"/>
          <w:lang w:val="en-GB"/>
        </w:rPr>
        <w:t>电话/</w:t>
      </w:r>
      <w:r>
        <w:rPr>
          <w:rFonts w:hint="eastAsia" w:ascii="仿宋_GB2312" w:hAnsi="仿宋_GB2312" w:eastAsia="仿宋_GB2312" w:cs="仿宋_GB2312"/>
          <w:color w:val="auto"/>
          <w:sz w:val="32"/>
          <w:szCs w:val="32"/>
          <w:highlight w:val="none"/>
        </w:rPr>
        <w:t>短信/微信/电子邮件在内的方式进行</w:t>
      </w:r>
      <w:r>
        <w:rPr>
          <w:rFonts w:hint="eastAsia" w:ascii="仿宋_GB2312" w:hAnsi="仿宋_GB2312" w:eastAsia="仿宋_GB2312" w:cs="仿宋_GB2312"/>
          <w:color w:val="auto"/>
          <w:sz w:val="32"/>
          <w:szCs w:val="32"/>
          <w:highlight w:val="none"/>
          <w:lang w:val="en-GB"/>
        </w:rPr>
        <w:t>。</w:t>
      </w:r>
    </w:p>
    <w:p w14:paraId="069A12B6">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lang w:val="en-GB"/>
        </w:rPr>
      </w:pPr>
      <w:r>
        <w:rPr>
          <w:rFonts w:hint="eastAsia" w:ascii="仿宋_GB2312" w:hAnsi="仿宋_GB2312" w:eastAsia="仿宋_GB2312" w:cs="仿宋_GB2312"/>
          <w:color w:val="auto"/>
          <w:sz w:val="32"/>
          <w:szCs w:val="32"/>
          <w:highlight w:val="none"/>
          <w:lang w:val="en-GB"/>
        </w:rPr>
        <w:t>2、任何一方按本合同的规定发出的任何通知或书面通讯，均应以中文书写，并用速递方式迅速发往或寄往对方。</w:t>
      </w:r>
    </w:p>
    <w:p w14:paraId="223AAE71">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GB"/>
        </w:rPr>
        <w:t>（1）用电话/</w:t>
      </w:r>
      <w:r>
        <w:rPr>
          <w:rFonts w:hint="eastAsia" w:ascii="仿宋_GB2312" w:hAnsi="仿宋_GB2312" w:eastAsia="仿宋_GB2312" w:cs="仿宋_GB2312"/>
          <w:color w:val="auto"/>
          <w:sz w:val="32"/>
          <w:szCs w:val="32"/>
          <w:highlight w:val="none"/>
        </w:rPr>
        <w:t>短信/微信/电子邮件</w:t>
      </w:r>
      <w:r>
        <w:rPr>
          <w:rFonts w:hint="eastAsia" w:ascii="仿宋_GB2312" w:hAnsi="仿宋_GB2312" w:eastAsia="仿宋_GB2312" w:cs="仿宋_GB2312"/>
          <w:color w:val="auto"/>
          <w:sz w:val="32"/>
          <w:szCs w:val="32"/>
          <w:highlight w:val="none"/>
          <w:lang w:val="en-GB"/>
        </w:rPr>
        <w:t>发出的通知，应在发出通知的3日内</w:t>
      </w:r>
      <w:r>
        <w:rPr>
          <w:rFonts w:hint="eastAsia" w:ascii="仿宋_GB2312" w:hAnsi="仿宋_GB2312" w:eastAsia="仿宋_GB2312" w:cs="仿宋_GB2312"/>
          <w:color w:val="auto"/>
          <w:sz w:val="32"/>
          <w:szCs w:val="32"/>
          <w:highlight w:val="none"/>
        </w:rPr>
        <w:t>补办正式签字及盖章手续的书面通知，并速递给对方；</w:t>
      </w:r>
    </w:p>
    <w:p w14:paraId="49729391">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lang w:val="en-GB"/>
        </w:rPr>
      </w:pPr>
      <w:r>
        <w:rPr>
          <w:rFonts w:hint="eastAsia" w:ascii="仿宋_GB2312" w:hAnsi="仿宋_GB2312" w:eastAsia="仿宋_GB2312" w:cs="仿宋_GB2312"/>
          <w:color w:val="auto"/>
          <w:sz w:val="32"/>
          <w:szCs w:val="32"/>
          <w:highlight w:val="none"/>
          <w:lang w:val="en-GB"/>
        </w:rPr>
        <w:t xml:space="preserve">（2）用信函发出的通知，则在邮资付讫的挂号信寄出日（以邮戳为凭）后的第5天，或在送交快递服务机构后的第3天，应视为有效送达； </w:t>
      </w:r>
    </w:p>
    <w:p w14:paraId="72F4D2B5">
      <w:pPr>
        <w:keepNext w:val="0"/>
        <w:keepLines w:val="0"/>
        <w:pageBreakBefore w:val="0"/>
        <w:kinsoku/>
        <w:wordWrap/>
        <w:overflowPunct/>
        <w:topLinePunct w:val="0"/>
        <w:bidi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lang w:val="en-GB"/>
        </w:rPr>
      </w:pPr>
      <w:r>
        <w:rPr>
          <w:rFonts w:hint="eastAsia" w:ascii="仿宋_GB2312" w:hAnsi="仿宋_GB2312" w:eastAsia="仿宋_GB2312" w:cs="仿宋_GB2312"/>
          <w:color w:val="auto"/>
          <w:sz w:val="32"/>
          <w:szCs w:val="32"/>
          <w:highlight w:val="none"/>
        </w:rPr>
        <w:t>除甲、乙双方的地址已按照本条的规定书面通知了对方并经对方书面确认的情况，一切通知均须发往甲、乙双方在本合同中载明的地址。</w:t>
      </w:r>
    </w:p>
    <w:p w14:paraId="45D76243">
      <w:pPr>
        <w:keepNext w:val="0"/>
        <w:keepLines w:val="0"/>
        <w:pageBreakBefore w:val="0"/>
        <w:kinsoku/>
        <w:wordWrap/>
        <w:overflowPunct/>
        <w:topLinePunct w:val="0"/>
        <w:bidi w:val="0"/>
        <w:adjustRightInd w:val="0"/>
        <w:snapToGrid w:val="0"/>
        <w:spacing w:line="560" w:lineRule="exact"/>
        <w:ind w:firstLine="643" w:firstLineChars="200"/>
        <w:jc w:val="left"/>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第十</w:t>
      </w:r>
      <w:r>
        <w:rPr>
          <w:rFonts w:hint="eastAsia" w:ascii="仿宋_GB2312" w:hAnsi="仿宋_GB2312" w:cs="仿宋_GB2312"/>
          <w:b/>
          <w:color w:val="auto"/>
          <w:sz w:val="32"/>
          <w:szCs w:val="32"/>
          <w:highlight w:val="none"/>
          <w:lang w:val="en-US" w:eastAsia="zh-CN"/>
        </w:rPr>
        <w:t>二</w:t>
      </w:r>
      <w:r>
        <w:rPr>
          <w:rFonts w:hint="eastAsia" w:ascii="仿宋_GB2312" w:hAnsi="仿宋_GB2312" w:eastAsia="仿宋_GB2312" w:cs="仿宋_GB2312"/>
          <w:b/>
          <w:color w:val="auto"/>
          <w:sz w:val="32"/>
          <w:szCs w:val="32"/>
          <w:highlight w:val="none"/>
        </w:rPr>
        <w:t>条  违约责任</w:t>
      </w:r>
    </w:p>
    <w:p w14:paraId="17F6E8E3">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1、甲</w:t>
      </w:r>
      <w:r>
        <w:rPr>
          <w:rFonts w:hint="eastAsia" w:ascii="仿宋_GB2312" w:hAnsi="仿宋_GB2312" w:eastAsia="仿宋_GB2312" w:cs="仿宋_GB2312"/>
          <w:color w:val="auto"/>
          <w:sz w:val="32"/>
          <w:szCs w:val="32"/>
          <w:highlight w:val="none"/>
        </w:rPr>
        <w:t>方的违约责任</w:t>
      </w:r>
    </w:p>
    <w:p w14:paraId="378DF3AF">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（1）甲</w:t>
      </w:r>
      <w:r>
        <w:rPr>
          <w:rFonts w:hint="eastAsia" w:ascii="仿宋_GB2312" w:hAnsi="仿宋_GB2312" w:eastAsia="仿宋_GB2312" w:cs="仿宋_GB2312"/>
          <w:color w:val="auto"/>
          <w:sz w:val="32"/>
          <w:szCs w:val="32"/>
          <w:highlight w:val="none"/>
        </w:rPr>
        <w:t>方如错误指示到货地点/收货人，或对</w:t>
      </w:r>
      <w:r>
        <w:rPr>
          <w:rFonts w:hint="eastAsia" w:ascii="仿宋_GB2312" w:hAnsi="仿宋_GB2312" w:eastAsia="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rPr>
        <w:t>方订单有任何信息错误的，应当承担因此产生的一切相关损失。</w:t>
      </w:r>
    </w:p>
    <w:p w14:paraId="5B1F2EFA">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（2）甲</w:t>
      </w:r>
      <w:r>
        <w:rPr>
          <w:rFonts w:hint="eastAsia" w:ascii="仿宋_GB2312" w:hAnsi="仿宋_GB2312" w:eastAsia="仿宋_GB2312" w:cs="仿宋_GB2312"/>
          <w:color w:val="auto"/>
          <w:sz w:val="32"/>
          <w:szCs w:val="32"/>
          <w:highlight w:val="none"/>
        </w:rPr>
        <w:t>方扰乱</w:t>
      </w:r>
      <w:r>
        <w:rPr>
          <w:rFonts w:hint="eastAsia" w:ascii="仿宋_GB2312" w:hAnsi="仿宋_GB2312" w:eastAsia="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rPr>
        <w:t>方生产经营秩序（包括但不限于</w:t>
      </w:r>
      <w:r>
        <w:rPr>
          <w:rFonts w:hint="eastAsia" w:ascii="仿宋_GB2312" w:hAnsi="仿宋_GB2312" w:eastAsia="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方阻碍</w:t>
      </w:r>
      <w:r>
        <w:rPr>
          <w:rFonts w:hint="eastAsia" w:ascii="仿宋_GB2312" w:hAnsi="仿宋_GB2312" w:eastAsia="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rPr>
        <w:t>方进行任何产品生产、销售或发运）的，</w:t>
      </w:r>
      <w:r>
        <w:rPr>
          <w:rFonts w:hint="eastAsia" w:ascii="仿宋_GB2312" w:hAnsi="仿宋_GB2312" w:eastAsia="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rPr>
        <w:t>方有权按</w:t>
      </w:r>
      <w:r>
        <w:rPr>
          <w:rFonts w:hint="eastAsia" w:ascii="仿宋_GB2312" w:hAnsi="仿宋_GB2312" w:eastAsia="仿宋_GB2312" w:cs="仿宋_GB2312"/>
          <w:color w:val="auto"/>
          <w:sz w:val="32"/>
          <w:szCs w:val="32"/>
          <w:highlight w:val="none"/>
          <w:lang w:val="en-US" w:eastAsia="zh-CN"/>
        </w:rPr>
        <w:t xml:space="preserve"> 伍仟 </w:t>
      </w:r>
      <w:r>
        <w:rPr>
          <w:rFonts w:hint="eastAsia" w:ascii="仿宋_GB2312" w:hAnsi="仿宋_GB2312" w:eastAsia="仿宋_GB2312" w:cs="仿宋_GB2312"/>
          <w:color w:val="auto"/>
          <w:sz w:val="32"/>
          <w:szCs w:val="32"/>
          <w:highlight w:val="none"/>
        </w:rPr>
        <w:t>元/次向</w:t>
      </w:r>
      <w:r>
        <w:rPr>
          <w:rFonts w:hint="eastAsia" w:ascii="仿宋_GB2312" w:hAnsi="仿宋_GB2312" w:eastAsia="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方计收违约金，同时有权终止本合同，并要求</w:t>
      </w:r>
      <w:r>
        <w:rPr>
          <w:rFonts w:hint="eastAsia" w:ascii="仿宋_GB2312" w:hAnsi="仿宋_GB2312" w:eastAsia="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方赔偿由此给</w:t>
      </w:r>
      <w:r>
        <w:rPr>
          <w:rFonts w:hint="eastAsia" w:ascii="仿宋_GB2312" w:hAnsi="仿宋_GB2312" w:eastAsia="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rPr>
        <w:t>方造成的损失。</w:t>
      </w:r>
    </w:p>
    <w:p w14:paraId="4F15368E">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（3）甲方不得有恶意竞争行为，从而恶意低价冲击拉低周边石料市场价格，如有发生，视为甲方违约。乙</w:t>
      </w:r>
      <w:r>
        <w:rPr>
          <w:rFonts w:hint="eastAsia" w:ascii="仿宋_GB2312" w:hAnsi="仿宋_GB2312" w:eastAsia="仿宋_GB2312" w:cs="仿宋_GB2312"/>
          <w:color w:val="auto"/>
          <w:sz w:val="32"/>
          <w:szCs w:val="32"/>
          <w:highlight w:val="none"/>
        </w:rPr>
        <w:t>方有权</w:t>
      </w:r>
      <w:r>
        <w:rPr>
          <w:rFonts w:hint="eastAsia" w:ascii="仿宋_GB2312" w:hAnsi="仿宋_GB2312" w:eastAsia="仿宋_GB2312" w:cs="仿宋_GB2312"/>
          <w:color w:val="auto"/>
          <w:sz w:val="32"/>
          <w:szCs w:val="32"/>
          <w:highlight w:val="none"/>
          <w:lang w:val="en-US" w:eastAsia="zh-CN"/>
        </w:rPr>
        <w:t>无条件</w:t>
      </w:r>
      <w:r>
        <w:rPr>
          <w:rFonts w:hint="eastAsia" w:ascii="仿宋_GB2312" w:hAnsi="仿宋_GB2312" w:eastAsia="仿宋_GB2312" w:cs="仿宋_GB2312"/>
          <w:color w:val="auto"/>
          <w:sz w:val="32"/>
          <w:szCs w:val="32"/>
          <w:highlight w:val="none"/>
        </w:rPr>
        <w:t>终止本合同，并要求</w:t>
      </w:r>
      <w:r>
        <w:rPr>
          <w:rFonts w:hint="eastAsia" w:ascii="仿宋_GB2312" w:hAnsi="仿宋_GB2312" w:eastAsia="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方赔偿由此给</w:t>
      </w:r>
      <w:r>
        <w:rPr>
          <w:rFonts w:hint="eastAsia" w:ascii="仿宋_GB2312" w:hAnsi="仿宋_GB2312" w:eastAsia="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rPr>
        <w:t>方造成的损失</w:t>
      </w:r>
      <w:r>
        <w:rPr>
          <w:rFonts w:hint="eastAsia" w:ascii="仿宋_GB2312" w:hAnsi="仿宋_GB2312" w:eastAsia="仿宋_GB2312" w:cs="仿宋_GB2312"/>
          <w:color w:val="auto"/>
          <w:sz w:val="32"/>
          <w:szCs w:val="32"/>
          <w:highlight w:val="none"/>
          <w:lang w:eastAsia="zh-CN"/>
        </w:rPr>
        <w:t>。</w:t>
      </w:r>
    </w:p>
    <w:p w14:paraId="4245F22C">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甲方承诺其提供的所有运输车辆及驾驶人员均符合国家及地方现行法律法规要求。甲方应自行负责办理运输所需的一切许可证件，并确保在整个运输过程中，无任何超载、超限、超速、抛洒地漏等违法行为。</w:t>
      </w:r>
    </w:p>
    <w:p w14:paraId="721CEEC0">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（5）甲方在乙方指定地点提货过程中，甲方工作人员及车辆应严格遵守乙方厂区内的规章制度，由于甲方工作人员、车辆等自身原因导致发生安全生产事故，甲方自行承担因此造成的所有损失。</w:t>
      </w:r>
    </w:p>
    <w:p w14:paraId="7AE2A075">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rPr>
        <w:t>方的违约责任</w:t>
      </w:r>
    </w:p>
    <w:p w14:paraId="3BDA5C46">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rPr>
        <w:t>方交付的产品品种、规格、质量若有不符合合同约定的，如</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方同意使用的，应按质论价；</w:t>
      </w: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方不能使用的，应视具体情况由</w:t>
      </w:r>
      <w:r>
        <w:rPr>
          <w:rFonts w:hint="eastAsia" w:ascii="仿宋_GB2312" w:hAnsi="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rPr>
        <w:t>方负责更换、退货并承担相应的费用支出。</w:t>
      </w:r>
    </w:p>
    <w:p w14:paraId="4F498804">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rPr>
        <w:t>方</w:t>
      </w:r>
      <w:r>
        <w:rPr>
          <w:rFonts w:hint="eastAsia" w:ascii="仿宋_GB2312" w:hAnsi="仿宋_GB2312" w:eastAsia="仿宋_GB2312" w:cs="仿宋_GB2312"/>
          <w:color w:val="auto"/>
          <w:sz w:val="32"/>
          <w:szCs w:val="32"/>
          <w:highlight w:val="none"/>
          <w:lang w:val="en-US" w:eastAsia="zh-CN"/>
        </w:rPr>
        <w:t>逾期交货且逾期时间达到</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cs="仿宋_GB2312"/>
          <w:color w:val="auto"/>
          <w:sz w:val="32"/>
          <w:szCs w:val="32"/>
          <w:highlight w:val="none"/>
          <w:u w:val="single"/>
          <w:lang w:val="en-US" w:eastAsia="zh-CN"/>
        </w:rPr>
        <w:t>壹</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个自然月，应支付</w:t>
      </w:r>
      <w:r>
        <w:rPr>
          <w:rFonts w:hint="eastAsia" w:ascii="仿宋_GB2312" w:hAnsi="仿宋_GB2312" w:cs="仿宋_GB2312"/>
          <w:color w:val="auto"/>
          <w:sz w:val="32"/>
          <w:szCs w:val="32"/>
          <w:highlight w:val="none"/>
          <w:u w:val="none"/>
          <w:lang w:val="en-US" w:eastAsia="zh-CN"/>
        </w:rPr>
        <w:t>逾期交货货值</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cs="仿宋_GB2312"/>
          <w:color w:val="auto"/>
          <w:sz w:val="32"/>
          <w:szCs w:val="32"/>
          <w:highlight w:val="none"/>
          <w:u w:val="single"/>
          <w:lang w:val="en-US" w:eastAsia="zh-CN"/>
        </w:rPr>
        <w:t>0.05</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的违约金，后续每逾期</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cs="仿宋_GB2312"/>
          <w:color w:val="auto"/>
          <w:sz w:val="32"/>
          <w:szCs w:val="32"/>
          <w:highlight w:val="none"/>
          <w:u w:val="single"/>
          <w:lang w:val="en-US" w:eastAsia="zh-CN"/>
        </w:rPr>
        <w:t>一</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个自然月需承担</w:t>
      </w:r>
      <w:r>
        <w:rPr>
          <w:rFonts w:hint="eastAsia" w:ascii="仿宋_GB2312" w:hAnsi="仿宋_GB2312" w:cs="仿宋_GB2312"/>
          <w:color w:val="auto"/>
          <w:sz w:val="32"/>
          <w:szCs w:val="32"/>
          <w:highlight w:val="none"/>
          <w:u w:val="none"/>
          <w:lang w:val="en-US" w:eastAsia="zh-CN"/>
        </w:rPr>
        <w:t>逾期交货货值</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cs="仿宋_GB2312"/>
          <w:color w:val="auto"/>
          <w:sz w:val="32"/>
          <w:szCs w:val="32"/>
          <w:highlight w:val="none"/>
          <w:u w:val="single"/>
          <w:lang w:val="en-US" w:eastAsia="zh-CN"/>
        </w:rPr>
        <w:t>0.05</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的违约金</w:t>
      </w:r>
      <w:r>
        <w:rPr>
          <w:rFonts w:hint="eastAsia" w:ascii="仿宋_GB2312" w:hAnsi="仿宋_GB2312" w:cs="仿宋_GB2312"/>
          <w:color w:val="auto"/>
          <w:sz w:val="32"/>
          <w:szCs w:val="32"/>
          <w:highlight w:val="none"/>
          <w:u w:val="none"/>
          <w:lang w:val="en-US" w:eastAsia="zh-CN"/>
        </w:rPr>
        <w:t>，但违约金累计不超过逾期交货货值的</w:t>
      </w:r>
      <w:r>
        <w:rPr>
          <w:rFonts w:hint="eastAsia" w:ascii="仿宋_GB2312" w:hAnsi="仿宋_GB2312" w:cs="仿宋_GB2312"/>
          <w:color w:val="auto"/>
          <w:sz w:val="32"/>
          <w:szCs w:val="32"/>
          <w:highlight w:val="none"/>
          <w:u w:val="single"/>
          <w:lang w:val="en-US" w:eastAsia="zh-CN"/>
        </w:rPr>
        <w:t xml:space="preserve"> 5% </w:t>
      </w:r>
      <w:r>
        <w:rPr>
          <w:rFonts w:hint="eastAsia" w:ascii="仿宋_GB2312" w:hAnsi="仿宋_GB2312" w:cs="仿宋_GB2312"/>
          <w:color w:val="auto"/>
          <w:sz w:val="32"/>
          <w:szCs w:val="32"/>
          <w:highlight w:val="none"/>
          <w:u w:val="none"/>
          <w:lang w:val="en-US" w:eastAsia="zh-CN"/>
        </w:rPr>
        <w:t>。</w:t>
      </w:r>
    </w:p>
    <w:p w14:paraId="0A5336C5">
      <w:pPr>
        <w:keepNext w:val="0"/>
        <w:keepLines w:val="0"/>
        <w:pageBreakBefore w:val="0"/>
        <w:kinsoku/>
        <w:wordWrap/>
        <w:overflowPunct/>
        <w:topLinePunct w:val="0"/>
        <w:bidi w:val="0"/>
        <w:adjustRightInd w:val="0"/>
        <w:snapToGrid w:val="0"/>
        <w:spacing w:line="560" w:lineRule="exact"/>
        <w:ind w:firstLine="627" w:firstLineChars="196"/>
        <w:textAlignment w:val="auto"/>
        <w:outlineLvl w:val="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(3)乙</w:t>
      </w:r>
      <w:r>
        <w:rPr>
          <w:rFonts w:hint="eastAsia" w:ascii="仿宋_GB2312" w:hAnsi="仿宋_GB2312" w:eastAsia="仿宋_GB2312" w:cs="仿宋_GB2312"/>
          <w:color w:val="auto"/>
          <w:sz w:val="32"/>
          <w:szCs w:val="32"/>
          <w:highlight w:val="none"/>
        </w:rPr>
        <w:t>方</w:t>
      </w:r>
      <w:r>
        <w:rPr>
          <w:rFonts w:hint="eastAsia" w:ascii="仿宋_GB2312" w:hAnsi="仿宋_GB2312" w:eastAsia="仿宋_GB2312" w:cs="仿宋_GB2312"/>
          <w:color w:val="auto"/>
          <w:sz w:val="32"/>
          <w:szCs w:val="32"/>
          <w:highlight w:val="none"/>
          <w:lang w:val="en-US" w:eastAsia="zh-CN"/>
        </w:rPr>
        <w:t>逾期交货且逾期时间超过</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cs="仿宋_GB2312"/>
          <w:color w:val="auto"/>
          <w:sz w:val="32"/>
          <w:szCs w:val="32"/>
          <w:highlight w:val="none"/>
          <w:u w:val="single"/>
          <w:lang w:val="en-US" w:eastAsia="zh-CN"/>
        </w:rPr>
        <w:t>3</w:t>
      </w:r>
      <w:r>
        <w:rPr>
          <w:rFonts w:hint="eastAsia" w:ascii="仿宋_GB2312" w:hAnsi="仿宋_GB2312" w:eastAsia="仿宋_GB2312" w:cs="仿宋_GB2312"/>
          <w:color w:val="auto"/>
          <w:sz w:val="32"/>
          <w:szCs w:val="32"/>
          <w:highlight w:val="none"/>
          <w:lang w:val="en-US" w:eastAsia="zh-CN"/>
        </w:rPr>
        <w:t>个自然月，视为乙方违约，双方友好协商具体解决方案。如双方无法达成一致意见，乙方应自违约之日支付根据甲方预付款实际占用时间按年化利率</w:t>
      </w:r>
      <w:r>
        <w:rPr>
          <w:rFonts w:hint="eastAsia" w:ascii="仿宋_GB2312" w:hAnsi="仿宋_GB2312" w:eastAsia="仿宋_GB2312" w:cs="仿宋_GB2312"/>
          <w:color w:val="auto"/>
          <w:sz w:val="32"/>
          <w:szCs w:val="32"/>
          <w:highlight w:val="none"/>
          <w:u w:val="single"/>
          <w:lang w:val="en-US" w:eastAsia="zh-CN"/>
        </w:rPr>
        <w:t>8%</w:t>
      </w:r>
      <w:r>
        <w:rPr>
          <w:rFonts w:hint="eastAsia" w:ascii="仿宋_GB2312" w:hAnsi="仿宋_GB2312" w:eastAsia="仿宋_GB2312" w:cs="仿宋_GB2312"/>
          <w:color w:val="auto"/>
          <w:sz w:val="32"/>
          <w:szCs w:val="32"/>
          <w:highlight w:val="none"/>
          <w:lang w:val="en-US" w:eastAsia="zh-CN"/>
        </w:rPr>
        <w:t>支付违约金，然后本协议解除。</w:t>
      </w:r>
    </w:p>
    <w:p w14:paraId="1297ECFB">
      <w:pPr>
        <w:keepNext w:val="0"/>
        <w:keepLines w:val="0"/>
        <w:pageBreakBefore w:val="0"/>
        <w:kinsoku/>
        <w:wordWrap/>
        <w:overflowPunct/>
        <w:topLinePunct w:val="0"/>
        <w:bidi w:val="0"/>
        <w:adjustRightInd w:val="0"/>
        <w:snapToGrid w:val="0"/>
        <w:spacing w:line="560" w:lineRule="exact"/>
        <w:ind w:firstLine="643" w:firstLineChars="200"/>
        <w:jc w:val="left"/>
        <w:textAlignment w:val="auto"/>
        <w:outlineLvl w:val="0"/>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第十</w:t>
      </w:r>
      <w:r>
        <w:rPr>
          <w:rFonts w:hint="eastAsia" w:ascii="仿宋_GB2312" w:hAnsi="仿宋_GB2312" w:cs="仿宋_GB2312"/>
          <w:b/>
          <w:bCs/>
          <w:color w:val="auto"/>
          <w:sz w:val="32"/>
          <w:szCs w:val="32"/>
          <w:highlight w:val="none"/>
          <w:lang w:val="en-US" w:eastAsia="zh-CN"/>
        </w:rPr>
        <w:t>三</w:t>
      </w:r>
      <w:r>
        <w:rPr>
          <w:rFonts w:hint="eastAsia" w:ascii="仿宋_GB2312" w:hAnsi="仿宋_GB2312" w:eastAsia="仿宋_GB2312" w:cs="仿宋_GB2312"/>
          <w:b/>
          <w:bCs/>
          <w:color w:val="auto"/>
          <w:sz w:val="32"/>
          <w:szCs w:val="32"/>
          <w:highlight w:val="none"/>
        </w:rPr>
        <w:t>条  免责条款</w:t>
      </w:r>
    </w:p>
    <w:p w14:paraId="66419891">
      <w:pPr>
        <w:keepNext w:val="0"/>
        <w:keepLines w:val="0"/>
        <w:pageBreakBefore w:val="0"/>
        <w:kinsoku/>
        <w:wordWrap/>
        <w:overflowPunct/>
        <w:topLinePunct w:val="0"/>
        <w:bidi w:val="0"/>
        <w:adjustRightInd w:val="0"/>
        <w:snapToGrid w:val="0"/>
        <w:spacing w:line="560" w:lineRule="exact"/>
        <w:ind w:firstLine="627" w:firstLineChars="196"/>
        <w:textAlignment w:val="auto"/>
        <w:outlineLvl w:val="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在履行本合同的过程中，由于出现不可抗力的事由，导致本合同不能履行时，一方应当在事发后</w:t>
      </w:r>
      <w:bookmarkStart w:id="0" w:name="_GoBack"/>
      <w:bookmarkEnd w:id="0"/>
      <w:r>
        <w:rPr>
          <w:rFonts w:hint="eastAsia" w:ascii="仿宋_GB2312" w:hAnsi="仿宋_GB2312" w:eastAsia="仿宋_GB2312" w:cs="仿宋_GB2312"/>
          <w:color w:val="auto"/>
          <w:sz w:val="32"/>
          <w:szCs w:val="32"/>
          <w:highlight w:val="none"/>
        </w:rPr>
        <w:t>72小时内通知对方并附政府主管部门出具的证明文件，方可在不可抗力影响范围内免除其不履行部分的违约责任。</w:t>
      </w:r>
    </w:p>
    <w:p w14:paraId="1A9EF900">
      <w:pPr>
        <w:pStyle w:val="2"/>
        <w:keepNext w:val="0"/>
        <w:keepLines w:val="0"/>
        <w:pageBreakBefore w:val="0"/>
        <w:kinsoku/>
        <w:wordWrap/>
        <w:overflowPunct/>
        <w:topLinePunct w:val="0"/>
        <w:bidi w:val="0"/>
        <w:spacing w:line="560" w:lineRule="exact"/>
        <w:textAlignment w:val="auto"/>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rPr>
        <w:t>2、甲方与乙方以上骨料</w:t>
      </w:r>
      <w:r>
        <w:rPr>
          <w:rFonts w:hint="eastAsia" w:ascii="仿宋_GB2312" w:hAnsi="仿宋_GB2312" w:cs="仿宋_GB2312"/>
          <w:color w:val="auto"/>
          <w:sz w:val="32"/>
          <w:szCs w:val="32"/>
          <w:highlight w:val="none"/>
          <w:lang w:val="en-US" w:eastAsia="zh-CN"/>
        </w:rPr>
        <w:t>碎石</w:t>
      </w:r>
      <w:r>
        <w:rPr>
          <w:rFonts w:hint="eastAsia" w:ascii="仿宋_GB2312" w:hAnsi="仿宋_GB2312" w:eastAsia="仿宋_GB2312" w:cs="仿宋_GB2312"/>
          <w:color w:val="auto"/>
          <w:sz w:val="32"/>
          <w:szCs w:val="32"/>
          <w:highlight w:val="none"/>
          <w:lang w:val="en-US" w:eastAsia="zh-CN"/>
        </w:rPr>
        <w:t>购销合同已经履行了乙方股东会决议，各股东均同意该交易及合同约定内容，并认可该关联交易为甲乙双方正常商业活动，没有损害甲乙双方公司利益。</w:t>
      </w:r>
    </w:p>
    <w:p w14:paraId="74187503">
      <w:pPr>
        <w:keepNext w:val="0"/>
        <w:keepLines w:val="0"/>
        <w:pageBreakBefore w:val="0"/>
        <w:kinsoku/>
        <w:wordWrap/>
        <w:overflowPunct/>
        <w:topLinePunct w:val="0"/>
        <w:bidi w:val="0"/>
        <w:adjustRightInd w:val="0"/>
        <w:snapToGrid w:val="0"/>
        <w:spacing w:line="560" w:lineRule="exact"/>
        <w:ind w:firstLine="643" w:firstLineChars="200"/>
        <w:jc w:val="left"/>
        <w:textAlignment w:val="auto"/>
        <w:outlineLvl w:val="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第十</w:t>
      </w:r>
      <w:r>
        <w:rPr>
          <w:rFonts w:hint="eastAsia" w:ascii="仿宋_GB2312" w:hAnsi="仿宋_GB2312" w:cs="仿宋_GB2312"/>
          <w:b/>
          <w:color w:val="auto"/>
          <w:sz w:val="32"/>
          <w:szCs w:val="32"/>
          <w:highlight w:val="none"/>
          <w:lang w:val="en-US" w:eastAsia="zh-CN"/>
        </w:rPr>
        <w:t>四</w:t>
      </w:r>
      <w:r>
        <w:rPr>
          <w:rFonts w:hint="eastAsia" w:ascii="仿宋_GB2312" w:hAnsi="仿宋_GB2312" w:eastAsia="仿宋_GB2312" w:cs="仿宋_GB2312"/>
          <w:b/>
          <w:color w:val="auto"/>
          <w:sz w:val="32"/>
          <w:szCs w:val="32"/>
          <w:highlight w:val="none"/>
        </w:rPr>
        <w:t>条  争议解决</w:t>
      </w:r>
    </w:p>
    <w:p w14:paraId="0F973066">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因本合同所发生的任何争议，由甲、乙双方协商解决；若协商不成，应向</w:t>
      </w:r>
      <w:r>
        <w:rPr>
          <w:rFonts w:hint="eastAsia" w:ascii="仿宋_GB2312" w:hAnsi="仿宋_GB2312" w:cs="仿宋_GB2312"/>
          <w:color w:val="auto"/>
          <w:sz w:val="32"/>
          <w:szCs w:val="32"/>
          <w:highlight w:val="none"/>
          <w:lang w:val="en-US" w:eastAsia="zh-CN"/>
        </w:rPr>
        <w:t>乙</w:t>
      </w:r>
      <w:r>
        <w:rPr>
          <w:rFonts w:hint="eastAsia" w:ascii="仿宋_GB2312" w:hAnsi="仿宋_GB2312" w:eastAsia="仿宋_GB2312" w:cs="仿宋_GB2312"/>
          <w:color w:val="auto"/>
          <w:sz w:val="32"/>
          <w:szCs w:val="32"/>
          <w:highlight w:val="none"/>
        </w:rPr>
        <w:t>方所在地有管辖权的人民法院诉讼。</w:t>
      </w:r>
    </w:p>
    <w:p w14:paraId="44A6B266">
      <w:pPr>
        <w:keepNext w:val="0"/>
        <w:keepLines w:val="0"/>
        <w:pageBreakBefore w:val="0"/>
        <w:kinsoku/>
        <w:wordWrap/>
        <w:overflowPunct/>
        <w:topLinePunct w:val="0"/>
        <w:bidi w:val="0"/>
        <w:adjustRightInd w:val="0"/>
        <w:snapToGrid w:val="0"/>
        <w:spacing w:line="560" w:lineRule="exact"/>
        <w:ind w:firstLine="643" w:firstLineChars="200"/>
        <w:jc w:val="left"/>
        <w:textAlignment w:val="auto"/>
        <w:outlineLvl w:val="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第十</w:t>
      </w:r>
      <w:r>
        <w:rPr>
          <w:rFonts w:hint="eastAsia" w:ascii="仿宋_GB2312" w:hAnsi="仿宋_GB2312" w:cs="仿宋_GB2312"/>
          <w:b/>
          <w:color w:val="auto"/>
          <w:sz w:val="32"/>
          <w:szCs w:val="32"/>
          <w:highlight w:val="none"/>
          <w:lang w:val="en-US" w:eastAsia="zh-CN"/>
        </w:rPr>
        <w:t>五</w:t>
      </w:r>
      <w:r>
        <w:rPr>
          <w:rFonts w:hint="eastAsia" w:ascii="仿宋_GB2312" w:hAnsi="仿宋_GB2312" w:eastAsia="仿宋_GB2312" w:cs="仿宋_GB2312"/>
          <w:b/>
          <w:color w:val="auto"/>
          <w:sz w:val="32"/>
          <w:szCs w:val="32"/>
          <w:highlight w:val="none"/>
        </w:rPr>
        <w:t>条  其他约定事项</w:t>
      </w:r>
    </w:p>
    <w:p w14:paraId="4A1EEBCA">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、本合同未尽事项，由甲、乙双方协商并签订书面补充合同/协议，补充合同/协议与本合同具有同等效力。</w:t>
      </w:r>
    </w:p>
    <w:p w14:paraId="3F08E797">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、本合同</w:t>
      </w:r>
      <w:r>
        <w:rPr>
          <w:rFonts w:hint="eastAsia" w:ascii="仿宋_GB2312" w:hAnsi="仿宋_GB2312" w:cs="仿宋_GB2312"/>
          <w:color w:val="auto"/>
          <w:sz w:val="32"/>
          <w:szCs w:val="32"/>
          <w:highlight w:val="none"/>
          <w:u w:val="single"/>
          <w:lang w:val="en-US" w:eastAsia="zh-CN"/>
        </w:rPr>
        <w:t xml:space="preserve"> 一</w:t>
      </w:r>
      <w:r>
        <w:rPr>
          <w:rFonts w:hint="eastAsia" w:ascii="仿宋_GB2312" w:hAnsi="仿宋_GB2312" w:eastAsia="仿宋_GB2312" w:cs="仿宋_GB2312"/>
          <w:color w:val="auto"/>
          <w:sz w:val="32"/>
          <w:szCs w:val="32"/>
          <w:highlight w:val="none"/>
          <w:u w:val="single"/>
        </w:rPr>
        <w:t>式</w:t>
      </w:r>
      <w:r>
        <w:rPr>
          <w:rFonts w:hint="eastAsia" w:ascii="仿宋_GB2312" w:hAnsi="仿宋_GB2312" w:cs="仿宋_GB2312"/>
          <w:color w:val="auto"/>
          <w:sz w:val="32"/>
          <w:szCs w:val="32"/>
          <w:highlight w:val="none"/>
          <w:u w:val="single"/>
          <w:lang w:val="en-US" w:eastAsia="zh-CN"/>
        </w:rPr>
        <w:t xml:space="preserve">捌 </w:t>
      </w:r>
      <w:r>
        <w:rPr>
          <w:rFonts w:hint="eastAsia" w:ascii="仿宋_GB2312" w:hAnsi="仿宋_GB2312" w:eastAsia="仿宋_GB2312" w:cs="仿宋_GB2312"/>
          <w:color w:val="auto"/>
          <w:sz w:val="32"/>
          <w:szCs w:val="32"/>
          <w:highlight w:val="none"/>
          <w:u w:val="none"/>
        </w:rPr>
        <w:t>份</w:t>
      </w:r>
      <w:r>
        <w:rPr>
          <w:rFonts w:hint="eastAsia" w:ascii="仿宋_GB2312" w:hAnsi="仿宋_GB2312" w:eastAsia="仿宋_GB2312" w:cs="仿宋_GB2312"/>
          <w:color w:val="auto"/>
          <w:sz w:val="32"/>
          <w:szCs w:val="32"/>
          <w:highlight w:val="none"/>
        </w:rPr>
        <w:t>，甲方执</w:t>
      </w:r>
      <w:r>
        <w:rPr>
          <w:rFonts w:hint="eastAsia" w:ascii="仿宋_GB2312" w:hAnsi="仿宋_GB2312" w:cs="仿宋_GB2312"/>
          <w:color w:val="auto"/>
          <w:sz w:val="32"/>
          <w:szCs w:val="32"/>
          <w:highlight w:val="none"/>
          <w:u w:val="single"/>
          <w:lang w:val="en-US" w:eastAsia="zh-CN"/>
        </w:rPr>
        <w:t xml:space="preserve"> 肆 </w:t>
      </w:r>
      <w:r>
        <w:rPr>
          <w:rFonts w:hint="eastAsia" w:ascii="仿宋_GB2312" w:hAnsi="仿宋_GB2312" w:eastAsia="仿宋_GB2312" w:cs="仿宋_GB2312"/>
          <w:color w:val="auto"/>
          <w:sz w:val="32"/>
          <w:szCs w:val="32"/>
          <w:highlight w:val="none"/>
          <w:u w:val="none"/>
        </w:rPr>
        <w:t>份</w:t>
      </w:r>
      <w:r>
        <w:rPr>
          <w:rFonts w:hint="eastAsia" w:ascii="仿宋_GB2312" w:hAnsi="仿宋_GB2312" w:eastAsia="仿宋_GB2312" w:cs="仿宋_GB2312"/>
          <w:color w:val="auto"/>
          <w:sz w:val="32"/>
          <w:szCs w:val="32"/>
          <w:highlight w:val="none"/>
        </w:rPr>
        <w:t>，乙方执</w:t>
      </w:r>
      <w:r>
        <w:rPr>
          <w:rFonts w:hint="eastAsia" w:ascii="仿宋_GB2312" w:hAnsi="仿宋_GB2312" w:cs="仿宋_GB2312"/>
          <w:color w:val="auto"/>
          <w:sz w:val="32"/>
          <w:szCs w:val="32"/>
          <w:highlight w:val="none"/>
          <w:u w:val="single"/>
          <w:lang w:val="en-US" w:eastAsia="zh-CN"/>
        </w:rPr>
        <w:t xml:space="preserve"> 肆 </w:t>
      </w:r>
      <w:r>
        <w:rPr>
          <w:rFonts w:hint="eastAsia" w:ascii="仿宋_GB2312" w:hAnsi="仿宋_GB2312" w:eastAsia="仿宋_GB2312" w:cs="仿宋_GB2312"/>
          <w:color w:val="auto"/>
          <w:sz w:val="32"/>
          <w:szCs w:val="32"/>
          <w:highlight w:val="none"/>
          <w:u w:val="none"/>
        </w:rPr>
        <w:t>份</w:t>
      </w:r>
      <w:r>
        <w:rPr>
          <w:rFonts w:hint="eastAsia" w:ascii="仿宋_GB2312" w:hAnsi="仿宋_GB2312" w:eastAsia="仿宋_GB2312" w:cs="仿宋_GB2312"/>
          <w:color w:val="auto"/>
          <w:sz w:val="32"/>
          <w:szCs w:val="32"/>
          <w:highlight w:val="none"/>
        </w:rPr>
        <w:t>，具有同等法律效力。本合同自甲、乙双方签字并盖公章或合同章后生效。</w:t>
      </w:r>
    </w:p>
    <w:p w14:paraId="11911A6A">
      <w:pPr>
        <w:keepNext w:val="0"/>
        <w:keepLines w:val="0"/>
        <w:kinsoku/>
        <w:wordWrap/>
        <w:overflowPunct/>
        <w:topLinePunct w:val="0"/>
        <w:bidi w:val="0"/>
        <w:spacing w:line="560" w:lineRule="exact"/>
        <w:ind w:left="0" w:leftChars="0" w:firstLine="0" w:firstLine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cs="仿宋_GB2312"/>
          <w:color w:val="auto"/>
          <w:sz w:val="32"/>
          <w:szCs w:val="32"/>
          <w:highlight w:val="none"/>
          <w:lang w:val="en-US" w:eastAsia="zh-CN"/>
        </w:rPr>
        <w:t>（以下无正文）</w:t>
      </w:r>
      <w:r>
        <w:rPr>
          <w:rFonts w:hint="eastAsia" w:ascii="仿宋_GB2312" w:hAnsi="仿宋_GB2312" w:eastAsia="仿宋_GB2312" w:cs="仿宋_GB2312"/>
          <w:color w:val="auto"/>
          <w:sz w:val="32"/>
          <w:szCs w:val="32"/>
          <w:highlight w:val="none"/>
          <w:lang w:val="en-US" w:eastAsia="zh-CN"/>
        </w:rPr>
        <w:br w:type="page"/>
      </w:r>
    </w:p>
    <w:p w14:paraId="127B9471">
      <w:pPr>
        <w:keepNext w:val="0"/>
        <w:keepLines w:val="0"/>
        <w:kinsoku/>
        <w:wordWrap/>
        <w:overflowPunct/>
        <w:topLinePunct w:val="0"/>
        <w:bidi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（盖章页，无正文）</w:t>
      </w:r>
    </w:p>
    <w:p w14:paraId="1EC9A58D">
      <w:pPr>
        <w:pStyle w:val="2"/>
        <w:keepNext w:val="0"/>
        <w:keepLines w:val="0"/>
        <w:kinsoku/>
        <w:wordWrap/>
        <w:overflowPunct/>
        <w:topLinePunct w:val="0"/>
        <w:bidi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p>
    <w:p w14:paraId="09FD6FDD">
      <w:pPr>
        <w:pStyle w:val="2"/>
        <w:keepNext w:val="0"/>
        <w:keepLines w:val="0"/>
        <w:kinsoku/>
        <w:wordWrap/>
        <w:overflowPunct/>
        <w:topLinePunct w:val="0"/>
        <w:bidi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p>
    <w:p w14:paraId="2E9DFB97">
      <w:pPr>
        <w:pStyle w:val="2"/>
        <w:keepNext w:val="0"/>
        <w:keepLines w:val="0"/>
        <w:kinsoku/>
        <w:wordWrap/>
        <w:overflowPunct/>
        <w:topLinePunct w:val="0"/>
        <w:bidi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p>
    <w:tbl>
      <w:tblPr>
        <w:tblStyle w:val="5"/>
        <w:tblpPr w:leftFromText="180" w:rightFromText="180" w:vertAnchor="text" w:horzAnchor="page" w:tblpX="1462" w:tblpY="342"/>
        <w:tblOverlap w:val="never"/>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3827"/>
        <w:gridCol w:w="3827"/>
      </w:tblGrid>
      <w:tr w14:paraId="3CDC9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1701" w:type="dxa"/>
            <w:tcBorders>
              <w:top w:val="single" w:color="auto" w:sz="4" w:space="0"/>
              <w:left w:val="single" w:color="auto" w:sz="4" w:space="0"/>
              <w:bottom w:val="single" w:color="auto" w:sz="4" w:space="0"/>
              <w:right w:val="single" w:color="auto" w:sz="4" w:space="0"/>
              <w:tl2br w:val="single" w:color="auto" w:sz="4" w:space="0"/>
            </w:tcBorders>
            <w:vAlign w:val="center"/>
          </w:tcPr>
          <w:p w14:paraId="7AC0B947">
            <w:pPr>
              <w:keepNext w:val="0"/>
              <w:keepLines w:val="0"/>
              <w:widowControl w:val="0"/>
              <w:kinsoku/>
              <w:wordWrap/>
              <w:overflowPunct/>
              <w:topLinePunct w:val="0"/>
              <w:bidi w:val="0"/>
              <w:spacing w:line="560" w:lineRule="exact"/>
              <w:ind w:firstLine="480" w:firstLineChars="200"/>
              <w:jc w:val="left"/>
              <w:textAlignment w:val="auto"/>
              <w:rPr>
                <w:rFonts w:ascii="宋体" w:hAnsi="宋体" w:eastAsia="宋体" w:cs="Times New Roman"/>
                <w:snapToGrid/>
                <w:color w:val="auto"/>
                <w:sz w:val="24"/>
                <w:szCs w:val="24"/>
                <w:highlight w:val="none"/>
                <w:lang w:eastAsia="zh-CN"/>
              </w:rPr>
            </w:pPr>
          </w:p>
        </w:tc>
        <w:tc>
          <w:tcPr>
            <w:tcW w:w="3827" w:type="dxa"/>
            <w:tcBorders>
              <w:top w:val="single" w:color="auto" w:sz="4" w:space="0"/>
              <w:left w:val="single" w:color="auto" w:sz="4" w:space="0"/>
              <w:bottom w:val="single" w:color="auto" w:sz="4" w:space="0"/>
              <w:right w:val="single" w:color="auto" w:sz="4" w:space="0"/>
            </w:tcBorders>
            <w:vAlign w:val="center"/>
          </w:tcPr>
          <w:p w14:paraId="5966FBFF">
            <w:pPr>
              <w:keepNext w:val="0"/>
              <w:keepLines w:val="0"/>
              <w:widowControl w:val="0"/>
              <w:kinsoku/>
              <w:wordWrap/>
              <w:overflowPunct/>
              <w:topLinePunct w:val="0"/>
              <w:bidi w:val="0"/>
              <w:spacing w:line="560" w:lineRule="exact"/>
              <w:ind w:left="0" w:leftChars="0" w:firstLine="482" w:firstLineChars="200"/>
              <w:jc w:val="left"/>
              <w:textAlignment w:val="auto"/>
              <w:rPr>
                <w:rFonts w:hint="eastAsia" w:ascii="宋体" w:hAnsi="宋体" w:eastAsia="宋体" w:cs="Times New Roman"/>
                <w:b/>
                <w:snapToGrid/>
                <w:color w:val="auto"/>
                <w:sz w:val="24"/>
                <w:szCs w:val="24"/>
                <w:highlight w:val="none"/>
                <w:lang w:eastAsia="zh-CN"/>
              </w:rPr>
            </w:pPr>
            <w:r>
              <w:rPr>
                <w:rFonts w:hint="eastAsia" w:ascii="宋体" w:hAnsi="宋体" w:eastAsia="宋体" w:cs="Times New Roman"/>
                <w:b/>
                <w:snapToGrid/>
                <w:color w:val="auto"/>
                <w:sz w:val="24"/>
                <w:szCs w:val="24"/>
                <w:highlight w:val="none"/>
                <w:lang w:eastAsia="zh-CN"/>
              </w:rPr>
              <w:t>甲方</w:t>
            </w:r>
          </w:p>
        </w:tc>
        <w:tc>
          <w:tcPr>
            <w:tcW w:w="3827" w:type="dxa"/>
            <w:tcBorders>
              <w:top w:val="single" w:color="auto" w:sz="4" w:space="0"/>
              <w:left w:val="single" w:color="auto" w:sz="4" w:space="0"/>
              <w:bottom w:val="single" w:color="auto" w:sz="4" w:space="0"/>
              <w:right w:val="single" w:color="auto" w:sz="4" w:space="0"/>
            </w:tcBorders>
            <w:vAlign w:val="center"/>
          </w:tcPr>
          <w:p w14:paraId="620E0E5E">
            <w:pPr>
              <w:keepNext w:val="0"/>
              <w:keepLines w:val="0"/>
              <w:widowControl w:val="0"/>
              <w:kinsoku/>
              <w:wordWrap/>
              <w:overflowPunct/>
              <w:topLinePunct w:val="0"/>
              <w:bidi w:val="0"/>
              <w:spacing w:line="560" w:lineRule="exact"/>
              <w:ind w:left="0" w:leftChars="0" w:firstLine="482" w:firstLineChars="200"/>
              <w:jc w:val="left"/>
              <w:textAlignment w:val="auto"/>
              <w:rPr>
                <w:rFonts w:hint="eastAsia" w:ascii="宋体" w:hAnsi="宋体" w:eastAsia="宋体" w:cs="Times New Roman"/>
                <w:b/>
                <w:snapToGrid/>
                <w:color w:val="auto"/>
                <w:sz w:val="24"/>
                <w:szCs w:val="24"/>
                <w:highlight w:val="none"/>
                <w:lang w:eastAsia="zh-CN"/>
              </w:rPr>
            </w:pPr>
            <w:r>
              <w:rPr>
                <w:rFonts w:hint="eastAsia" w:ascii="宋体" w:hAnsi="宋体" w:eastAsia="宋体" w:cs="Times New Roman"/>
                <w:b/>
                <w:snapToGrid/>
                <w:color w:val="auto"/>
                <w:sz w:val="24"/>
                <w:szCs w:val="24"/>
                <w:highlight w:val="none"/>
                <w:lang w:eastAsia="zh-CN"/>
              </w:rPr>
              <w:t>乙方</w:t>
            </w:r>
          </w:p>
        </w:tc>
      </w:tr>
      <w:tr w14:paraId="6CB2C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1701" w:type="dxa"/>
            <w:tcBorders>
              <w:top w:val="single" w:color="auto" w:sz="4" w:space="0"/>
              <w:left w:val="single" w:color="auto" w:sz="4" w:space="0"/>
              <w:bottom w:val="single" w:color="auto" w:sz="4" w:space="0"/>
              <w:right w:val="single" w:color="auto" w:sz="4" w:space="0"/>
            </w:tcBorders>
            <w:vAlign w:val="center"/>
          </w:tcPr>
          <w:p w14:paraId="318722FB">
            <w:pPr>
              <w:keepNext w:val="0"/>
              <w:keepLines w:val="0"/>
              <w:widowControl w:val="0"/>
              <w:kinsoku/>
              <w:wordWrap/>
              <w:overflowPunct/>
              <w:topLinePunct w:val="0"/>
              <w:bidi w:val="0"/>
              <w:spacing w:line="560" w:lineRule="exact"/>
              <w:ind w:left="0" w:leftChars="0" w:firstLine="480" w:firstLineChars="200"/>
              <w:jc w:val="left"/>
              <w:textAlignment w:val="auto"/>
              <w:rPr>
                <w:rFonts w:hint="eastAsia" w:ascii="宋体" w:hAnsi="宋体" w:eastAsia="宋体" w:cs="Times New Roman"/>
                <w:snapToGrid/>
                <w:color w:val="auto"/>
                <w:sz w:val="24"/>
                <w:szCs w:val="24"/>
                <w:highlight w:val="none"/>
                <w:lang w:eastAsia="zh-CN"/>
              </w:rPr>
            </w:pPr>
            <w:r>
              <w:rPr>
                <w:rFonts w:hint="eastAsia" w:ascii="宋体" w:hAnsi="宋体" w:eastAsia="宋体" w:cs="Times New Roman"/>
                <w:snapToGrid/>
                <w:color w:val="auto"/>
                <w:sz w:val="24"/>
                <w:szCs w:val="24"/>
                <w:highlight w:val="none"/>
                <w:lang w:eastAsia="zh-CN"/>
              </w:rPr>
              <w:t>单位名称</w:t>
            </w:r>
          </w:p>
        </w:tc>
        <w:tc>
          <w:tcPr>
            <w:tcW w:w="3827" w:type="dxa"/>
            <w:tcBorders>
              <w:top w:val="single" w:color="auto" w:sz="4" w:space="0"/>
              <w:left w:val="single" w:color="auto" w:sz="4" w:space="0"/>
              <w:bottom w:val="single" w:color="auto" w:sz="4" w:space="0"/>
              <w:right w:val="single" w:color="auto" w:sz="4" w:space="0"/>
            </w:tcBorders>
            <w:vAlign w:val="center"/>
          </w:tcPr>
          <w:p w14:paraId="62C1DA63">
            <w:pPr>
              <w:keepNext w:val="0"/>
              <w:keepLines w:val="0"/>
              <w:widowControl w:val="0"/>
              <w:kinsoku/>
              <w:wordWrap/>
              <w:overflowPunct/>
              <w:topLinePunct w:val="0"/>
              <w:bidi w:val="0"/>
              <w:spacing w:line="560" w:lineRule="exact"/>
              <w:ind w:left="0" w:leftChars="0" w:firstLine="480" w:firstLineChars="200"/>
              <w:jc w:val="left"/>
              <w:textAlignment w:val="auto"/>
              <w:rPr>
                <w:rFonts w:hint="eastAsia" w:ascii="宋体" w:hAnsi="宋体" w:eastAsia="宋体" w:cs="Times New Roman"/>
                <w:snapToGrid/>
                <w:color w:val="auto"/>
                <w:sz w:val="24"/>
                <w:szCs w:val="24"/>
                <w:highlight w:val="none"/>
                <w:lang w:eastAsia="zh-CN"/>
              </w:rPr>
            </w:pPr>
          </w:p>
        </w:tc>
        <w:tc>
          <w:tcPr>
            <w:tcW w:w="3827" w:type="dxa"/>
            <w:tcBorders>
              <w:top w:val="single" w:color="auto" w:sz="4" w:space="0"/>
              <w:left w:val="single" w:color="auto" w:sz="4" w:space="0"/>
              <w:bottom w:val="single" w:color="auto" w:sz="4" w:space="0"/>
              <w:right w:val="single" w:color="auto" w:sz="4" w:space="0"/>
            </w:tcBorders>
            <w:vAlign w:val="center"/>
          </w:tcPr>
          <w:p w14:paraId="6DEA9251">
            <w:pPr>
              <w:keepNext w:val="0"/>
              <w:keepLines w:val="0"/>
              <w:widowControl w:val="0"/>
              <w:kinsoku/>
              <w:wordWrap/>
              <w:overflowPunct/>
              <w:topLinePunct w:val="0"/>
              <w:bidi w:val="0"/>
              <w:spacing w:line="560" w:lineRule="exact"/>
              <w:ind w:left="0" w:leftChars="0" w:firstLine="480" w:firstLineChars="200"/>
              <w:jc w:val="left"/>
              <w:textAlignment w:val="auto"/>
              <w:rPr>
                <w:rFonts w:hint="eastAsia" w:ascii="宋体" w:hAnsi="宋体" w:eastAsia="宋体" w:cs="Times New Roman"/>
                <w:snapToGrid/>
                <w:color w:val="auto"/>
                <w:kern w:val="2"/>
                <w:sz w:val="24"/>
                <w:szCs w:val="24"/>
                <w:highlight w:val="none"/>
                <w:lang w:val="en-US" w:eastAsia="zh-CN" w:bidi="ar-SA"/>
              </w:rPr>
            </w:pPr>
            <w:r>
              <w:rPr>
                <w:rFonts w:hint="eastAsia" w:ascii="宋体" w:hAnsi="宋体" w:eastAsia="宋体" w:cs="Times New Roman"/>
                <w:snapToGrid/>
                <w:color w:val="auto"/>
                <w:sz w:val="24"/>
                <w:szCs w:val="24"/>
                <w:highlight w:val="none"/>
                <w:lang w:eastAsia="zh-CN"/>
              </w:rPr>
              <w:t>海垦（儋州）新型环保建材有限公司（盖章）</w:t>
            </w:r>
          </w:p>
        </w:tc>
      </w:tr>
      <w:tr w14:paraId="50B3A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1701" w:type="dxa"/>
            <w:tcBorders>
              <w:top w:val="single" w:color="auto" w:sz="4" w:space="0"/>
              <w:left w:val="single" w:color="auto" w:sz="4" w:space="0"/>
              <w:bottom w:val="single" w:color="auto" w:sz="4" w:space="0"/>
              <w:right w:val="single" w:color="auto" w:sz="4" w:space="0"/>
            </w:tcBorders>
            <w:vAlign w:val="center"/>
          </w:tcPr>
          <w:p w14:paraId="70768DB1">
            <w:pPr>
              <w:keepNext w:val="0"/>
              <w:keepLines w:val="0"/>
              <w:widowControl w:val="0"/>
              <w:kinsoku/>
              <w:wordWrap/>
              <w:overflowPunct/>
              <w:topLinePunct w:val="0"/>
              <w:bidi w:val="0"/>
              <w:spacing w:line="560" w:lineRule="exact"/>
              <w:ind w:left="0" w:leftChars="0" w:firstLine="480" w:firstLineChars="200"/>
              <w:jc w:val="left"/>
              <w:textAlignment w:val="auto"/>
              <w:rPr>
                <w:rFonts w:hint="eastAsia" w:ascii="宋体" w:hAnsi="宋体" w:eastAsia="宋体" w:cs="Times New Roman"/>
                <w:snapToGrid/>
                <w:color w:val="auto"/>
                <w:sz w:val="24"/>
                <w:szCs w:val="24"/>
                <w:highlight w:val="none"/>
                <w:lang w:eastAsia="zh-CN"/>
              </w:rPr>
            </w:pPr>
            <w:r>
              <w:rPr>
                <w:rFonts w:hint="eastAsia" w:ascii="宋体" w:hAnsi="宋体" w:eastAsia="宋体" w:cs="Times New Roman"/>
                <w:snapToGrid/>
                <w:color w:val="auto"/>
                <w:sz w:val="24"/>
                <w:szCs w:val="24"/>
                <w:highlight w:val="none"/>
                <w:lang w:eastAsia="zh-CN"/>
              </w:rPr>
              <w:t>单位地址</w:t>
            </w:r>
          </w:p>
        </w:tc>
        <w:tc>
          <w:tcPr>
            <w:tcW w:w="3827" w:type="dxa"/>
            <w:tcBorders>
              <w:top w:val="single" w:color="auto" w:sz="4" w:space="0"/>
              <w:left w:val="single" w:color="auto" w:sz="4" w:space="0"/>
              <w:bottom w:val="single" w:color="auto" w:sz="4" w:space="0"/>
              <w:right w:val="single" w:color="auto" w:sz="4" w:space="0"/>
            </w:tcBorders>
            <w:vAlign w:val="center"/>
          </w:tcPr>
          <w:p w14:paraId="7DBC3C86">
            <w:pPr>
              <w:keepNext w:val="0"/>
              <w:keepLines w:val="0"/>
              <w:widowControl w:val="0"/>
              <w:kinsoku/>
              <w:wordWrap/>
              <w:overflowPunct/>
              <w:topLinePunct w:val="0"/>
              <w:bidi w:val="0"/>
              <w:spacing w:line="560" w:lineRule="exact"/>
              <w:ind w:left="0" w:leftChars="0" w:firstLine="480" w:firstLineChars="200"/>
              <w:jc w:val="left"/>
              <w:textAlignment w:val="auto"/>
              <w:rPr>
                <w:rFonts w:hint="eastAsia" w:ascii="宋体" w:hAnsi="宋体" w:eastAsia="宋体" w:cs="Times New Roman"/>
                <w:snapToGrid/>
                <w:color w:val="auto"/>
                <w:sz w:val="24"/>
                <w:szCs w:val="24"/>
                <w:highlight w:val="none"/>
                <w:lang w:eastAsia="zh-CN"/>
              </w:rPr>
            </w:pPr>
          </w:p>
        </w:tc>
        <w:tc>
          <w:tcPr>
            <w:tcW w:w="3827" w:type="dxa"/>
            <w:tcBorders>
              <w:top w:val="single" w:color="auto" w:sz="4" w:space="0"/>
              <w:left w:val="single" w:color="auto" w:sz="4" w:space="0"/>
              <w:bottom w:val="single" w:color="auto" w:sz="4" w:space="0"/>
              <w:right w:val="single" w:color="auto" w:sz="4" w:space="0"/>
            </w:tcBorders>
            <w:vAlign w:val="center"/>
          </w:tcPr>
          <w:p w14:paraId="75BADE35">
            <w:pPr>
              <w:keepNext w:val="0"/>
              <w:keepLines w:val="0"/>
              <w:widowControl w:val="0"/>
              <w:kinsoku/>
              <w:wordWrap/>
              <w:overflowPunct/>
              <w:topLinePunct w:val="0"/>
              <w:bidi w:val="0"/>
              <w:spacing w:line="560" w:lineRule="exact"/>
              <w:ind w:left="0" w:leftChars="0" w:firstLine="480" w:firstLineChars="200"/>
              <w:jc w:val="left"/>
              <w:textAlignment w:val="auto"/>
              <w:rPr>
                <w:rFonts w:hint="eastAsia" w:ascii="宋体" w:hAnsi="宋体" w:eastAsia="宋体" w:cs="Times New Roman"/>
                <w:snapToGrid/>
                <w:color w:val="auto"/>
                <w:kern w:val="2"/>
                <w:sz w:val="24"/>
                <w:szCs w:val="24"/>
                <w:highlight w:val="none"/>
                <w:lang w:val="en-US" w:eastAsia="zh-CN" w:bidi="ar-SA"/>
              </w:rPr>
            </w:pPr>
            <w:r>
              <w:rPr>
                <w:rFonts w:hint="eastAsia" w:ascii="宋体" w:hAnsi="宋体" w:eastAsia="宋体" w:cs="Times New Roman"/>
                <w:snapToGrid/>
                <w:color w:val="auto"/>
                <w:sz w:val="24"/>
                <w:szCs w:val="24"/>
                <w:highlight w:val="none"/>
                <w:lang w:val="en-US" w:eastAsia="zh-CN"/>
              </w:rPr>
              <w:t xml:space="preserve"> 海南省儋州市那大镇兴隆路A5号</w:t>
            </w:r>
          </w:p>
        </w:tc>
      </w:tr>
      <w:tr w14:paraId="21EF7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1701" w:type="dxa"/>
            <w:tcBorders>
              <w:top w:val="single" w:color="auto" w:sz="4" w:space="0"/>
              <w:left w:val="single" w:color="auto" w:sz="4" w:space="0"/>
              <w:bottom w:val="single" w:color="auto" w:sz="4" w:space="0"/>
              <w:right w:val="single" w:color="auto" w:sz="4" w:space="0"/>
            </w:tcBorders>
            <w:vAlign w:val="center"/>
          </w:tcPr>
          <w:p w14:paraId="6400EB74">
            <w:pPr>
              <w:keepNext w:val="0"/>
              <w:keepLines w:val="0"/>
              <w:widowControl w:val="0"/>
              <w:kinsoku/>
              <w:wordWrap/>
              <w:overflowPunct/>
              <w:topLinePunct w:val="0"/>
              <w:bidi w:val="0"/>
              <w:spacing w:line="560" w:lineRule="exact"/>
              <w:ind w:left="0" w:leftChars="0" w:firstLine="480" w:firstLineChars="200"/>
              <w:jc w:val="left"/>
              <w:textAlignment w:val="auto"/>
              <w:rPr>
                <w:rFonts w:hint="eastAsia" w:ascii="宋体" w:hAnsi="宋体" w:eastAsia="宋体" w:cs="Times New Roman"/>
                <w:snapToGrid/>
                <w:color w:val="auto"/>
                <w:sz w:val="24"/>
                <w:szCs w:val="24"/>
                <w:highlight w:val="none"/>
                <w:lang w:eastAsia="zh-CN"/>
              </w:rPr>
            </w:pPr>
            <w:r>
              <w:rPr>
                <w:rFonts w:hint="eastAsia" w:ascii="宋体" w:hAnsi="宋体" w:eastAsia="宋体" w:cs="Times New Roman"/>
                <w:snapToGrid/>
                <w:color w:val="auto"/>
                <w:sz w:val="24"/>
                <w:szCs w:val="24"/>
                <w:highlight w:val="none"/>
                <w:lang w:eastAsia="zh-CN"/>
              </w:rPr>
              <w:t>电   话</w:t>
            </w:r>
          </w:p>
        </w:tc>
        <w:tc>
          <w:tcPr>
            <w:tcW w:w="3827" w:type="dxa"/>
            <w:tcBorders>
              <w:top w:val="single" w:color="auto" w:sz="4" w:space="0"/>
              <w:left w:val="single" w:color="auto" w:sz="4" w:space="0"/>
              <w:bottom w:val="single" w:color="auto" w:sz="4" w:space="0"/>
              <w:right w:val="single" w:color="auto" w:sz="4" w:space="0"/>
            </w:tcBorders>
            <w:vAlign w:val="center"/>
          </w:tcPr>
          <w:p w14:paraId="39A36FA4">
            <w:pPr>
              <w:keepNext w:val="0"/>
              <w:keepLines w:val="0"/>
              <w:widowControl w:val="0"/>
              <w:kinsoku/>
              <w:wordWrap/>
              <w:overflowPunct/>
              <w:topLinePunct w:val="0"/>
              <w:bidi w:val="0"/>
              <w:spacing w:line="560" w:lineRule="exact"/>
              <w:ind w:left="0" w:leftChars="0" w:firstLine="480" w:firstLineChars="200"/>
              <w:jc w:val="left"/>
              <w:textAlignment w:val="auto"/>
              <w:rPr>
                <w:rFonts w:hint="eastAsia" w:ascii="宋体" w:hAnsi="宋体" w:eastAsia="宋体" w:cs="Times New Roman"/>
                <w:snapToGrid/>
                <w:color w:val="auto"/>
                <w:sz w:val="24"/>
                <w:szCs w:val="24"/>
                <w:highlight w:val="none"/>
                <w:lang w:eastAsia="zh-CN"/>
              </w:rPr>
            </w:pPr>
          </w:p>
        </w:tc>
        <w:tc>
          <w:tcPr>
            <w:tcW w:w="3827" w:type="dxa"/>
            <w:tcBorders>
              <w:top w:val="single" w:color="auto" w:sz="4" w:space="0"/>
              <w:left w:val="single" w:color="auto" w:sz="4" w:space="0"/>
              <w:bottom w:val="single" w:color="auto" w:sz="4" w:space="0"/>
              <w:right w:val="single" w:color="auto" w:sz="4" w:space="0"/>
            </w:tcBorders>
            <w:vAlign w:val="center"/>
          </w:tcPr>
          <w:p w14:paraId="477F71F2">
            <w:pPr>
              <w:keepNext w:val="0"/>
              <w:keepLines w:val="0"/>
              <w:widowControl w:val="0"/>
              <w:kinsoku/>
              <w:wordWrap/>
              <w:overflowPunct/>
              <w:topLinePunct w:val="0"/>
              <w:bidi w:val="0"/>
              <w:spacing w:line="560" w:lineRule="exact"/>
              <w:ind w:left="0" w:leftChars="0" w:firstLine="480" w:firstLineChars="200"/>
              <w:jc w:val="left"/>
              <w:textAlignment w:val="auto"/>
              <w:rPr>
                <w:rFonts w:hint="default" w:ascii="宋体" w:hAnsi="宋体" w:eastAsia="宋体" w:cs="Times New Roman"/>
                <w:snapToGrid/>
                <w:color w:val="auto"/>
                <w:kern w:val="2"/>
                <w:sz w:val="24"/>
                <w:szCs w:val="24"/>
                <w:highlight w:val="none"/>
                <w:lang w:val="en-US" w:eastAsia="zh-CN" w:bidi="ar-SA"/>
              </w:rPr>
            </w:pPr>
            <w:r>
              <w:rPr>
                <w:rFonts w:hint="eastAsia" w:ascii="宋体" w:hAnsi="宋体" w:eastAsia="宋体" w:cs="Times New Roman"/>
                <w:snapToGrid/>
                <w:color w:val="auto"/>
                <w:sz w:val="24"/>
                <w:szCs w:val="24"/>
                <w:highlight w:val="none"/>
                <w:lang w:eastAsia="zh-CN"/>
              </w:rPr>
              <w:t>0898-</w:t>
            </w:r>
            <w:r>
              <w:rPr>
                <w:rFonts w:hint="eastAsia" w:ascii="宋体" w:hAnsi="宋体" w:eastAsia="宋体" w:cs="Times New Roman"/>
                <w:snapToGrid/>
                <w:color w:val="auto"/>
                <w:sz w:val="24"/>
                <w:szCs w:val="24"/>
                <w:highlight w:val="none"/>
                <w:lang w:val="en-US" w:eastAsia="zh-CN"/>
              </w:rPr>
              <w:t>66623215</w:t>
            </w:r>
          </w:p>
        </w:tc>
      </w:tr>
      <w:tr w14:paraId="674A6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1701" w:type="dxa"/>
            <w:tcBorders>
              <w:top w:val="single" w:color="auto" w:sz="4" w:space="0"/>
              <w:left w:val="single" w:color="auto" w:sz="4" w:space="0"/>
              <w:bottom w:val="single" w:color="auto" w:sz="4" w:space="0"/>
              <w:right w:val="single" w:color="auto" w:sz="4" w:space="0"/>
            </w:tcBorders>
            <w:vAlign w:val="center"/>
          </w:tcPr>
          <w:p w14:paraId="00B5849C">
            <w:pPr>
              <w:keepNext w:val="0"/>
              <w:keepLines w:val="0"/>
              <w:widowControl w:val="0"/>
              <w:kinsoku/>
              <w:wordWrap/>
              <w:overflowPunct/>
              <w:topLinePunct w:val="0"/>
              <w:bidi w:val="0"/>
              <w:spacing w:line="560" w:lineRule="exact"/>
              <w:ind w:left="0" w:leftChars="0" w:firstLine="480" w:firstLineChars="200"/>
              <w:jc w:val="left"/>
              <w:textAlignment w:val="auto"/>
              <w:rPr>
                <w:rFonts w:hint="eastAsia" w:ascii="宋体" w:hAnsi="宋体" w:eastAsia="宋体" w:cs="Times New Roman"/>
                <w:snapToGrid/>
                <w:color w:val="auto"/>
                <w:sz w:val="24"/>
                <w:szCs w:val="24"/>
                <w:highlight w:val="none"/>
                <w:lang w:eastAsia="zh-CN"/>
              </w:rPr>
            </w:pPr>
            <w:r>
              <w:rPr>
                <w:rFonts w:hint="eastAsia" w:ascii="宋体" w:hAnsi="宋体" w:eastAsia="宋体" w:cs="Times New Roman"/>
                <w:snapToGrid/>
                <w:color w:val="auto"/>
                <w:sz w:val="24"/>
                <w:szCs w:val="24"/>
                <w:highlight w:val="none"/>
                <w:lang w:eastAsia="zh-CN"/>
              </w:rPr>
              <w:t>开户银行</w:t>
            </w:r>
          </w:p>
        </w:tc>
        <w:tc>
          <w:tcPr>
            <w:tcW w:w="3827" w:type="dxa"/>
            <w:tcBorders>
              <w:top w:val="single" w:color="auto" w:sz="4" w:space="0"/>
              <w:left w:val="single" w:color="auto" w:sz="4" w:space="0"/>
              <w:bottom w:val="single" w:color="auto" w:sz="4" w:space="0"/>
              <w:right w:val="single" w:color="auto" w:sz="4" w:space="0"/>
            </w:tcBorders>
            <w:vAlign w:val="center"/>
          </w:tcPr>
          <w:p w14:paraId="23C91BB6">
            <w:pPr>
              <w:keepNext w:val="0"/>
              <w:keepLines w:val="0"/>
              <w:widowControl w:val="0"/>
              <w:kinsoku/>
              <w:wordWrap/>
              <w:overflowPunct/>
              <w:topLinePunct w:val="0"/>
              <w:bidi w:val="0"/>
              <w:spacing w:line="560" w:lineRule="exact"/>
              <w:ind w:left="0" w:leftChars="0" w:firstLine="480" w:firstLineChars="200"/>
              <w:jc w:val="left"/>
              <w:textAlignment w:val="auto"/>
              <w:rPr>
                <w:rFonts w:hint="default" w:ascii="宋体" w:hAnsi="宋体" w:eastAsia="宋体" w:cs="Times New Roman"/>
                <w:snapToGrid/>
                <w:color w:val="auto"/>
                <w:sz w:val="24"/>
                <w:szCs w:val="24"/>
                <w:highlight w:val="none"/>
                <w:lang w:val="en-US" w:eastAsia="zh-CN"/>
              </w:rPr>
            </w:pPr>
          </w:p>
        </w:tc>
        <w:tc>
          <w:tcPr>
            <w:tcW w:w="3827" w:type="dxa"/>
            <w:tcBorders>
              <w:top w:val="single" w:color="auto" w:sz="4" w:space="0"/>
              <w:left w:val="single" w:color="auto" w:sz="4" w:space="0"/>
              <w:bottom w:val="single" w:color="auto" w:sz="4" w:space="0"/>
              <w:right w:val="single" w:color="auto" w:sz="4" w:space="0"/>
            </w:tcBorders>
            <w:vAlign w:val="center"/>
          </w:tcPr>
          <w:p w14:paraId="7D9F439B">
            <w:pPr>
              <w:keepNext w:val="0"/>
              <w:keepLines w:val="0"/>
              <w:widowControl w:val="0"/>
              <w:kinsoku/>
              <w:wordWrap/>
              <w:overflowPunct/>
              <w:topLinePunct w:val="0"/>
              <w:bidi w:val="0"/>
              <w:spacing w:line="560" w:lineRule="exact"/>
              <w:ind w:left="0" w:leftChars="0" w:firstLine="480" w:firstLineChars="200"/>
              <w:jc w:val="left"/>
              <w:textAlignment w:val="auto"/>
              <w:rPr>
                <w:rFonts w:hint="eastAsia" w:ascii="宋体" w:hAnsi="宋体" w:eastAsia="宋体" w:cs="Times New Roman"/>
                <w:snapToGrid/>
                <w:color w:val="auto"/>
                <w:kern w:val="2"/>
                <w:sz w:val="24"/>
                <w:szCs w:val="24"/>
                <w:highlight w:val="none"/>
                <w:lang w:val="en-US" w:eastAsia="zh-CN" w:bidi="ar-SA"/>
              </w:rPr>
            </w:pPr>
            <w:r>
              <w:rPr>
                <w:rFonts w:hint="eastAsia" w:ascii="宋体" w:hAnsi="宋体" w:eastAsia="宋体"/>
                <w:snapToGrid/>
                <w:color w:val="auto"/>
                <w:sz w:val="24"/>
                <w:highlight w:val="none"/>
              </w:rPr>
              <w:t>中国银行儋州分行</w:t>
            </w:r>
          </w:p>
        </w:tc>
      </w:tr>
      <w:tr w14:paraId="48132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1701" w:type="dxa"/>
            <w:tcBorders>
              <w:top w:val="single" w:color="auto" w:sz="4" w:space="0"/>
              <w:left w:val="single" w:color="auto" w:sz="4" w:space="0"/>
              <w:bottom w:val="single" w:color="auto" w:sz="4" w:space="0"/>
              <w:right w:val="single" w:color="auto" w:sz="4" w:space="0"/>
            </w:tcBorders>
            <w:vAlign w:val="center"/>
          </w:tcPr>
          <w:p w14:paraId="20327C4C">
            <w:pPr>
              <w:keepNext w:val="0"/>
              <w:keepLines w:val="0"/>
              <w:widowControl w:val="0"/>
              <w:kinsoku/>
              <w:wordWrap/>
              <w:overflowPunct/>
              <w:topLinePunct w:val="0"/>
              <w:bidi w:val="0"/>
              <w:spacing w:line="560" w:lineRule="exact"/>
              <w:ind w:left="0" w:leftChars="0" w:firstLine="480" w:firstLineChars="200"/>
              <w:jc w:val="left"/>
              <w:textAlignment w:val="auto"/>
              <w:rPr>
                <w:rFonts w:hint="eastAsia" w:ascii="宋体" w:hAnsi="宋体" w:eastAsia="宋体" w:cs="Times New Roman"/>
                <w:snapToGrid/>
                <w:color w:val="auto"/>
                <w:sz w:val="24"/>
                <w:szCs w:val="24"/>
                <w:highlight w:val="none"/>
                <w:lang w:eastAsia="zh-CN"/>
              </w:rPr>
            </w:pPr>
            <w:r>
              <w:rPr>
                <w:rFonts w:hint="eastAsia" w:ascii="宋体" w:hAnsi="宋体" w:eastAsia="宋体" w:cs="Times New Roman"/>
                <w:snapToGrid/>
                <w:color w:val="auto"/>
                <w:sz w:val="24"/>
                <w:szCs w:val="24"/>
                <w:highlight w:val="none"/>
                <w:lang w:eastAsia="zh-CN"/>
              </w:rPr>
              <w:t>银行账号</w:t>
            </w:r>
          </w:p>
        </w:tc>
        <w:tc>
          <w:tcPr>
            <w:tcW w:w="3827" w:type="dxa"/>
            <w:tcBorders>
              <w:top w:val="single" w:color="auto" w:sz="4" w:space="0"/>
              <w:left w:val="single" w:color="auto" w:sz="4" w:space="0"/>
              <w:bottom w:val="single" w:color="auto" w:sz="4" w:space="0"/>
              <w:right w:val="single" w:color="auto" w:sz="4" w:space="0"/>
            </w:tcBorders>
            <w:vAlign w:val="center"/>
          </w:tcPr>
          <w:p w14:paraId="7E0F8370">
            <w:pPr>
              <w:keepNext w:val="0"/>
              <w:keepLines w:val="0"/>
              <w:widowControl w:val="0"/>
              <w:kinsoku/>
              <w:wordWrap/>
              <w:overflowPunct/>
              <w:topLinePunct w:val="0"/>
              <w:bidi w:val="0"/>
              <w:spacing w:line="560" w:lineRule="exact"/>
              <w:ind w:left="0" w:leftChars="0" w:firstLine="480" w:firstLineChars="200"/>
              <w:jc w:val="left"/>
              <w:textAlignment w:val="auto"/>
              <w:rPr>
                <w:rFonts w:hint="default" w:ascii="宋体" w:hAnsi="宋体" w:eastAsia="宋体" w:cs="Times New Roman"/>
                <w:snapToGrid/>
                <w:color w:val="auto"/>
                <w:sz w:val="24"/>
                <w:szCs w:val="24"/>
                <w:highlight w:val="none"/>
                <w:lang w:val="en-US" w:eastAsia="zh-CN"/>
              </w:rPr>
            </w:pPr>
          </w:p>
        </w:tc>
        <w:tc>
          <w:tcPr>
            <w:tcW w:w="3827" w:type="dxa"/>
            <w:tcBorders>
              <w:top w:val="single" w:color="auto" w:sz="4" w:space="0"/>
              <w:left w:val="single" w:color="auto" w:sz="4" w:space="0"/>
              <w:bottom w:val="single" w:color="auto" w:sz="4" w:space="0"/>
              <w:right w:val="single" w:color="auto" w:sz="4" w:space="0"/>
            </w:tcBorders>
            <w:vAlign w:val="center"/>
          </w:tcPr>
          <w:p w14:paraId="1331A533">
            <w:pPr>
              <w:keepNext w:val="0"/>
              <w:keepLines w:val="0"/>
              <w:widowControl w:val="0"/>
              <w:kinsoku/>
              <w:wordWrap/>
              <w:overflowPunct/>
              <w:topLinePunct w:val="0"/>
              <w:bidi w:val="0"/>
              <w:spacing w:line="560" w:lineRule="exact"/>
              <w:ind w:left="0" w:leftChars="0" w:firstLine="480" w:firstLineChars="200"/>
              <w:jc w:val="left"/>
              <w:textAlignment w:val="auto"/>
              <w:rPr>
                <w:rFonts w:hint="eastAsia" w:ascii="宋体" w:hAnsi="宋体" w:eastAsia="宋体" w:cs="Times New Roman"/>
                <w:snapToGrid/>
                <w:color w:val="auto"/>
                <w:kern w:val="2"/>
                <w:sz w:val="24"/>
                <w:szCs w:val="24"/>
                <w:highlight w:val="none"/>
                <w:lang w:val="en-US" w:eastAsia="zh-CN" w:bidi="ar-SA"/>
              </w:rPr>
            </w:pPr>
            <w:r>
              <w:rPr>
                <w:rFonts w:hint="eastAsia" w:ascii="宋体" w:hAnsi="宋体" w:eastAsia="宋体" w:cs="Times New Roman"/>
                <w:snapToGrid/>
                <w:color w:val="auto"/>
                <w:kern w:val="2"/>
                <w:sz w:val="24"/>
                <w:szCs w:val="24"/>
                <w:highlight w:val="none"/>
                <w:lang w:val="en-US" w:eastAsia="zh-CN" w:bidi="ar-SA"/>
              </w:rPr>
              <w:t>266295342891</w:t>
            </w:r>
          </w:p>
        </w:tc>
      </w:tr>
      <w:tr w14:paraId="5354F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1701" w:type="dxa"/>
            <w:tcBorders>
              <w:top w:val="single" w:color="auto" w:sz="4" w:space="0"/>
              <w:left w:val="single" w:color="auto" w:sz="4" w:space="0"/>
              <w:bottom w:val="single" w:color="auto" w:sz="4" w:space="0"/>
              <w:right w:val="single" w:color="auto" w:sz="4" w:space="0"/>
            </w:tcBorders>
            <w:vAlign w:val="center"/>
          </w:tcPr>
          <w:p w14:paraId="79EDF55B">
            <w:pPr>
              <w:keepNext w:val="0"/>
              <w:keepLines w:val="0"/>
              <w:widowControl w:val="0"/>
              <w:kinsoku/>
              <w:wordWrap/>
              <w:overflowPunct/>
              <w:topLinePunct w:val="0"/>
              <w:bidi w:val="0"/>
              <w:spacing w:line="560" w:lineRule="exact"/>
              <w:ind w:left="0" w:leftChars="0" w:firstLine="480" w:firstLineChars="200"/>
              <w:jc w:val="left"/>
              <w:textAlignment w:val="auto"/>
              <w:rPr>
                <w:rFonts w:hint="default" w:ascii="宋体" w:hAnsi="宋体" w:eastAsia="宋体" w:cs="Times New Roman"/>
                <w:snapToGrid/>
                <w:color w:val="auto"/>
                <w:sz w:val="24"/>
                <w:szCs w:val="24"/>
                <w:highlight w:val="none"/>
                <w:lang w:val="en-US" w:eastAsia="zh-CN"/>
              </w:rPr>
            </w:pPr>
            <w:r>
              <w:rPr>
                <w:rFonts w:hint="eastAsia" w:ascii="宋体" w:hAnsi="宋体" w:eastAsia="宋体" w:cs="Times New Roman"/>
                <w:snapToGrid/>
                <w:color w:val="auto"/>
                <w:sz w:val="24"/>
                <w:szCs w:val="24"/>
                <w:highlight w:val="none"/>
                <w:lang w:val="en-US" w:eastAsia="zh-CN"/>
              </w:rPr>
              <w:t>统一社会信用代码</w:t>
            </w:r>
          </w:p>
        </w:tc>
        <w:tc>
          <w:tcPr>
            <w:tcW w:w="3827" w:type="dxa"/>
            <w:tcBorders>
              <w:top w:val="single" w:color="auto" w:sz="4" w:space="0"/>
              <w:left w:val="single" w:color="auto" w:sz="4" w:space="0"/>
              <w:bottom w:val="single" w:color="auto" w:sz="4" w:space="0"/>
              <w:right w:val="single" w:color="auto" w:sz="4" w:space="0"/>
            </w:tcBorders>
            <w:vAlign w:val="center"/>
          </w:tcPr>
          <w:p w14:paraId="51790F49">
            <w:pPr>
              <w:keepNext w:val="0"/>
              <w:keepLines w:val="0"/>
              <w:widowControl w:val="0"/>
              <w:kinsoku/>
              <w:wordWrap/>
              <w:overflowPunct/>
              <w:topLinePunct w:val="0"/>
              <w:bidi w:val="0"/>
              <w:spacing w:line="560" w:lineRule="exact"/>
              <w:ind w:left="0" w:leftChars="0" w:firstLine="480" w:firstLineChars="200"/>
              <w:jc w:val="left"/>
              <w:textAlignment w:val="auto"/>
              <w:rPr>
                <w:rFonts w:hint="default" w:ascii="宋体" w:hAnsi="宋体" w:eastAsia="宋体" w:cs="Times New Roman"/>
                <w:snapToGrid/>
                <w:color w:val="auto"/>
                <w:sz w:val="24"/>
                <w:szCs w:val="24"/>
                <w:highlight w:val="none"/>
                <w:lang w:val="en-US" w:eastAsia="zh-CN"/>
              </w:rPr>
            </w:pPr>
          </w:p>
        </w:tc>
        <w:tc>
          <w:tcPr>
            <w:tcW w:w="3827" w:type="dxa"/>
            <w:tcBorders>
              <w:top w:val="single" w:color="auto" w:sz="4" w:space="0"/>
              <w:left w:val="single" w:color="auto" w:sz="4" w:space="0"/>
              <w:bottom w:val="single" w:color="auto" w:sz="4" w:space="0"/>
              <w:right w:val="single" w:color="auto" w:sz="4" w:space="0"/>
            </w:tcBorders>
            <w:vAlign w:val="center"/>
          </w:tcPr>
          <w:p w14:paraId="4722649B">
            <w:pPr>
              <w:keepNext w:val="0"/>
              <w:keepLines w:val="0"/>
              <w:widowControl w:val="0"/>
              <w:kinsoku/>
              <w:wordWrap/>
              <w:overflowPunct/>
              <w:topLinePunct w:val="0"/>
              <w:bidi w:val="0"/>
              <w:spacing w:line="560" w:lineRule="exact"/>
              <w:ind w:left="0" w:leftChars="0" w:firstLine="480" w:firstLineChars="200"/>
              <w:jc w:val="left"/>
              <w:textAlignment w:val="auto"/>
              <w:rPr>
                <w:rFonts w:hint="eastAsia" w:ascii="宋体" w:hAnsi="宋体" w:eastAsia="宋体" w:cs="Times New Roman"/>
                <w:snapToGrid/>
                <w:color w:val="auto"/>
                <w:kern w:val="2"/>
                <w:sz w:val="24"/>
                <w:szCs w:val="24"/>
                <w:highlight w:val="none"/>
                <w:lang w:val="en-US" w:eastAsia="zh-CN" w:bidi="ar-SA"/>
              </w:rPr>
            </w:pPr>
            <w:r>
              <w:rPr>
                <w:rFonts w:hint="eastAsia" w:ascii="宋体" w:hAnsi="宋体" w:eastAsia="宋体" w:cs="Times New Roman"/>
                <w:snapToGrid/>
                <w:color w:val="auto"/>
                <w:sz w:val="24"/>
                <w:szCs w:val="24"/>
                <w:highlight w:val="none"/>
                <w:lang w:val="en-US" w:eastAsia="zh-CN"/>
              </w:rPr>
              <w:t>91460400MACPTPWJ7B</w:t>
            </w:r>
          </w:p>
        </w:tc>
      </w:tr>
      <w:tr w14:paraId="136C8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trPr>
        <w:tc>
          <w:tcPr>
            <w:tcW w:w="1701" w:type="dxa"/>
            <w:tcBorders>
              <w:top w:val="single" w:color="auto" w:sz="4" w:space="0"/>
              <w:left w:val="single" w:color="auto" w:sz="4" w:space="0"/>
              <w:bottom w:val="single" w:color="auto" w:sz="4" w:space="0"/>
              <w:right w:val="single" w:color="auto" w:sz="4" w:space="0"/>
            </w:tcBorders>
            <w:vAlign w:val="center"/>
          </w:tcPr>
          <w:p w14:paraId="7ED013DC">
            <w:pPr>
              <w:keepNext w:val="0"/>
              <w:keepLines w:val="0"/>
              <w:widowControl w:val="0"/>
              <w:kinsoku/>
              <w:wordWrap/>
              <w:overflowPunct/>
              <w:topLinePunct w:val="0"/>
              <w:bidi w:val="0"/>
              <w:spacing w:line="560" w:lineRule="exact"/>
              <w:ind w:left="0" w:leftChars="0" w:firstLine="480" w:firstLineChars="200"/>
              <w:jc w:val="left"/>
              <w:textAlignment w:val="auto"/>
              <w:rPr>
                <w:rFonts w:hint="eastAsia" w:ascii="宋体" w:hAnsi="宋体" w:eastAsia="宋体" w:cs="Times New Roman"/>
                <w:snapToGrid/>
                <w:color w:val="auto"/>
                <w:sz w:val="24"/>
                <w:szCs w:val="24"/>
                <w:highlight w:val="none"/>
                <w:lang w:eastAsia="zh-CN"/>
              </w:rPr>
            </w:pPr>
            <w:r>
              <w:rPr>
                <w:rFonts w:hint="eastAsia" w:ascii="宋体" w:hAnsi="宋体" w:eastAsia="宋体" w:cs="Times New Roman"/>
                <w:snapToGrid/>
                <w:color w:val="auto"/>
                <w:sz w:val="24"/>
                <w:szCs w:val="24"/>
                <w:highlight w:val="none"/>
                <w:lang w:eastAsia="zh-CN"/>
              </w:rPr>
              <w:t>法定代表人或委托代理人</w:t>
            </w:r>
          </w:p>
        </w:tc>
        <w:tc>
          <w:tcPr>
            <w:tcW w:w="3827" w:type="dxa"/>
            <w:tcBorders>
              <w:top w:val="single" w:color="auto" w:sz="4" w:space="0"/>
              <w:left w:val="single" w:color="auto" w:sz="4" w:space="0"/>
              <w:bottom w:val="single" w:color="auto" w:sz="4" w:space="0"/>
              <w:right w:val="single" w:color="auto" w:sz="4" w:space="0"/>
            </w:tcBorders>
            <w:vAlign w:val="center"/>
          </w:tcPr>
          <w:p w14:paraId="5AEF448B">
            <w:pPr>
              <w:keepNext w:val="0"/>
              <w:keepLines w:val="0"/>
              <w:widowControl w:val="0"/>
              <w:kinsoku/>
              <w:wordWrap/>
              <w:overflowPunct/>
              <w:topLinePunct w:val="0"/>
              <w:bidi w:val="0"/>
              <w:spacing w:line="560" w:lineRule="exact"/>
              <w:ind w:firstLine="480" w:firstLineChars="200"/>
              <w:jc w:val="left"/>
              <w:textAlignment w:val="auto"/>
              <w:rPr>
                <w:rFonts w:hint="eastAsia" w:ascii="宋体" w:hAnsi="宋体" w:eastAsia="宋体" w:cs="Times New Roman"/>
                <w:snapToGrid/>
                <w:color w:val="auto"/>
                <w:sz w:val="24"/>
                <w:szCs w:val="24"/>
                <w:highlight w:val="none"/>
                <w:lang w:eastAsia="zh-CN"/>
              </w:rPr>
            </w:pPr>
            <w:r>
              <w:rPr>
                <w:rFonts w:hint="eastAsia" w:ascii="宋体" w:hAnsi="宋体" w:eastAsia="宋体" w:cs="Times New Roman"/>
                <w:snapToGrid/>
                <w:color w:val="auto"/>
                <w:sz w:val="24"/>
                <w:szCs w:val="24"/>
                <w:highlight w:val="none"/>
                <w:lang w:val="en-US" w:eastAsia="zh-CN"/>
              </w:rPr>
              <w:t xml:space="preserve"> </w:t>
            </w:r>
          </w:p>
        </w:tc>
        <w:tc>
          <w:tcPr>
            <w:tcW w:w="3827" w:type="dxa"/>
            <w:tcBorders>
              <w:top w:val="single" w:color="auto" w:sz="4" w:space="0"/>
              <w:left w:val="single" w:color="auto" w:sz="4" w:space="0"/>
              <w:bottom w:val="single" w:color="auto" w:sz="4" w:space="0"/>
              <w:right w:val="single" w:color="auto" w:sz="4" w:space="0"/>
            </w:tcBorders>
            <w:vAlign w:val="center"/>
          </w:tcPr>
          <w:p w14:paraId="5B74469F">
            <w:pPr>
              <w:keepNext w:val="0"/>
              <w:keepLines w:val="0"/>
              <w:widowControl w:val="0"/>
              <w:kinsoku/>
              <w:wordWrap/>
              <w:overflowPunct/>
              <w:topLinePunct w:val="0"/>
              <w:bidi w:val="0"/>
              <w:spacing w:line="560" w:lineRule="exact"/>
              <w:ind w:firstLine="480" w:firstLineChars="200"/>
              <w:jc w:val="left"/>
              <w:textAlignment w:val="auto"/>
              <w:rPr>
                <w:rFonts w:hint="eastAsia" w:ascii="宋体" w:hAnsi="宋体" w:eastAsia="宋体" w:cs="Times New Roman"/>
                <w:snapToGrid/>
                <w:color w:val="auto"/>
                <w:sz w:val="24"/>
                <w:szCs w:val="24"/>
                <w:highlight w:val="none"/>
                <w:lang w:eastAsia="zh-CN"/>
              </w:rPr>
            </w:pPr>
            <w:r>
              <w:rPr>
                <w:rFonts w:hint="eastAsia" w:ascii="宋体" w:hAnsi="宋体" w:eastAsia="宋体" w:cs="Times New Roman"/>
                <w:snapToGrid/>
                <w:color w:val="auto"/>
                <w:sz w:val="24"/>
                <w:szCs w:val="24"/>
                <w:highlight w:val="none"/>
                <w:lang w:val="en-US" w:eastAsia="zh-CN"/>
              </w:rPr>
              <w:t xml:space="preserve"> </w:t>
            </w:r>
          </w:p>
        </w:tc>
      </w:tr>
      <w:tr w14:paraId="7AE4A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1701" w:type="dxa"/>
            <w:tcBorders>
              <w:top w:val="single" w:color="auto" w:sz="4" w:space="0"/>
              <w:left w:val="single" w:color="auto" w:sz="4" w:space="0"/>
              <w:bottom w:val="single" w:color="auto" w:sz="4" w:space="0"/>
              <w:right w:val="single" w:color="auto" w:sz="4" w:space="0"/>
            </w:tcBorders>
            <w:vAlign w:val="center"/>
          </w:tcPr>
          <w:p w14:paraId="2F1130D6">
            <w:pPr>
              <w:keepNext w:val="0"/>
              <w:keepLines w:val="0"/>
              <w:widowControl w:val="0"/>
              <w:kinsoku/>
              <w:wordWrap/>
              <w:overflowPunct/>
              <w:topLinePunct w:val="0"/>
              <w:bidi w:val="0"/>
              <w:spacing w:line="560" w:lineRule="exact"/>
              <w:ind w:left="0" w:leftChars="0" w:firstLine="480" w:firstLineChars="200"/>
              <w:jc w:val="left"/>
              <w:textAlignment w:val="auto"/>
              <w:rPr>
                <w:rFonts w:hint="eastAsia" w:ascii="宋体" w:hAnsi="宋体" w:eastAsia="宋体" w:cs="Times New Roman"/>
                <w:snapToGrid/>
                <w:color w:val="auto"/>
                <w:sz w:val="24"/>
                <w:szCs w:val="24"/>
                <w:highlight w:val="none"/>
                <w:lang w:eastAsia="zh-CN"/>
              </w:rPr>
            </w:pPr>
            <w:r>
              <w:rPr>
                <w:rFonts w:hint="eastAsia" w:ascii="宋体" w:hAnsi="宋体" w:eastAsia="宋体" w:cs="Times New Roman"/>
                <w:snapToGrid/>
                <w:color w:val="auto"/>
                <w:sz w:val="24"/>
                <w:szCs w:val="24"/>
                <w:highlight w:val="none"/>
                <w:lang w:eastAsia="zh-CN"/>
              </w:rPr>
              <w:t>签订日期</w:t>
            </w:r>
          </w:p>
        </w:tc>
        <w:tc>
          <w:tcPr>
            <w:tcW w:w="3827" w:type="dxa"/>
            <w:tcBorders>
              <w:top w:val="single" w:color="auto" w:sz="4" w:space="0"/>
              <w:left w:val="single" w:color="auto" w:sz="4" w:space="0"/>
              <w:bottom w:val="single" w:color="auto" w:sz="4" w:space="0"/>
              <w:right w:val="single" w:color="auto" w:sz="4" w:space="0"/>
            </w:tcBorders>
            <w:vAlign w:val="center"/>
          </w:tcPr>
          <w:p w14:paraId="7B7DF17C">
            <w:pPr>
              <w:keepNext w:val="0"/>
              <w:keepLines w:val="0"/>
              <w:widowControl w:val="0"/>
              <w:kinsoku/>
              <w:wordWrap/>
              <w:overflowPunct/>
              <w:topLinePunct w:val="0"/>
              <w:bidi w:val="0"/>
              <w:spacing w:line="560" w:lineRule="exact"/>
              <w:ind w:firstLine="480" w:firstLineChars="200"/>
              <w:jc w:val="left"/>
              <w:textAlignment w:val="auto"/>
              <w:rPr>
                <w:rFonts w:hint="eastAsia" w:ascii="宋体" w:hAnsi="宋体" w:eastAsia="宋体" w:cs="Times New Roman"/>
                <w:snapToGrid/>
                <w:color w:val="auto"/>
                <w:sz w:val="24"/>
                <w:szCs w:val="24"/>
                <w:highlight w:val="none"/>
                <w:lang w:eastAsia="zh-CN"/>
              </w:rPr>
            </w:pPr>
            <w:r>
              <w:rPr>
                <w:rFonts w:hint="eastAsia" w:ascii="宋体" w:hAnsi="宋体" w:eastAsia="宋体" w:cs="Times New Roman"/>
                <w:snapToGrid/>
                <w:color w:val="auto"/>
                <w:sz w:val="24"/>
                <w:szCs w:val="24"/>
                <w:highlight w:val="none"/>
                <w:lang w:eastAsia="zh-CN"/>
              </w:rPr>
              <w:t>年    月    日</w:t>
            </w:r>
          </w:p>
        </w:tc>
        <w:tc>
          <w:tcPr>
            <w:tcW w:w="3827" w:type="dxa"/>
            <w:tcBorders>
              <w:top w:val="single" w:color="auto" w:sz="4" w:space="0"/>
              <w:left w:val="single" w:color="auto" w:sz="4" w:space="0"/>
              <w:bottom w:val="single" w:color="auto" w:sz="4" w:space="0"/>
              <w:right w:val="single" w:color="auto" w:sz="4" w:space="0"/>
            </w:tcBorders>
            <w:vAlign w:val="center"/>
          </w:tcPr>
          <w:p w14:paraId="21ABB5B8">
            <w:pPr>
              <w:keepNext w:val="0"/>
              <w:keepLines w:val="0"/>
              <w:widowControl w:val="0"/>
              <w:kinsoku/>
              <w:wordWrap/>
              <w:overflowPunct/>
              <w:topLinePunct w:val="0"/>
              <w:bidi w:val="0"/>
              <w:spacing w:line="560" w:lineRule="exact"/>
              <w:ind w:firstLine="480" w:firstLineChars="200"/>
              <w:jc w:val="left"/>
              <w:textAlignment w:val="auto"/>
              <w:rPr>
                <w:rFonts w:hint="eastAsia" w:ascii="宋体" w:hAnsi="宋体" w:eastAsia="宋体" w:cs="Times New Roman"/>
                <w:snapToGrid/>
                <w:color w:val="auto"/>
                <w:sz w:val="24"/>
                <w:szCs w:val="24"/>
                <w:highlight w:val="none"/>
                <w:lang w:eastAsia="zh-CN"/>
              </w:rPr>
            </w:pPr>
            <w:r>
              <w:rPr>
                <w:rFonts w:hint="eastAsia" w:ascii="宋体" w:hAnsi="宋体" w:eastAsia="宋体" w:cs="Times New Roman"/>
                <w:snapToGrid/>
                <w:color w:val="auto"/>
                <w:sz w:val="24"/>
                <w:szCs w:val="24"/>
                <w:highlight w:val="none"/>
                <w:lang w:eastAsia="zh-CN"/>
              </w:rPr>
              <w:t>年    月    日</w:t>
            </w:r>
          </w:p>
        </w:tc>
      </w:tr>
    </w:tbl>
    <w:p w14:paraId="3A790891">
      <w:pPr>
        <w:keepNext w:val="0"/>
        <w:keepLines w:val="0"/>
        <w:kinsoku/>
        <w:wordWrap/>
        <w:overflowPunct/>
        <w:topLinePunct w:val="0"/>
        <w:bidi w:val="0"/>
        <w:spacing w:line="560" w:lineRule="exact"/>
        <w:ind w:firstLine="420" w:firstLineChars="200"/>
        <w:jc w:val="left"/>
        <w:textAlignment w:val="auto"/>
        <w:rPr>
          <w:rFonts w:hint="eastAsia" w:ascii="仿宋_GB2312" w:hAnsi="仿宋_GB2312" w:eastAsia="仿宋_GB2312" w:cs="仿宋_GB2312"/>
          <w:color w:val="auto"/>
          <w:sz w:val="32"/>
          <w:szCs w:val="32"/>
          <w:highlight w:val="none"/>
        </w:rPr>
      </w:pPr>
      <w:r>
        <w:rPr>
          <w:rFonts w:ascii="宋体" w:hAnsi="宋体" w:eastAsia="宋体" w:cs="Times New Roman"/>
          <w:color w:val="auto"/>
          <w:sz w:val="21"/>
          <w:szCs w:val="21"/>
          <w:highlight w:val="none"/>
        </w:rPr>
        <w:br w:type="page"/>
      </w:r>
      <w:r>
        <w:rPr>
          <w:rFonts w:hint="eastAsia" w:ascii="仿宋_GB2312" w:hAnsi="仿宋_GB2312" w:eastAsia="仿宋_GB2312" w:cs="仿宋_GB2312"/>
          <w:b/>
          <w:bCs/>
          <w:color w:val="auto"/>
          <w:sz w:val="32"/>
          <w:szCs w:val="32"/>
          <w:highlight w:val="none"/>
        </w:rPr>
        <w:t>附件1：</w:t>
      </w:r>
    </w:p>
    <w:p w14:paraId="742BC09B">
      <w:pPr>
        <w:keepNext w:val="0"/>
        <w:keepLines w:val="0"/>
        <w:kinsoku/>
        <w:wordWrap/>
        <w:overflowPunct/>
        <w:topLinePunct w:val="0"/>
        <w:bidi w:val="0"/>
        <w:spacing w:line="560" w:lineRule="exact"/>
        <w:ind w:firstLine="602" w:firstLineChars="200"/>
        <w:jc w:val="left"/>
        <w:textAlignment w:val="auto"/>
        <w:rPr>
          <w:rFonts w:ascii="宋体" w:hAnsi="宋体" w:eastAsia="宋体" w:cs="Times New Roman"/>
          <w:b/>
          <w:bCs/>
          <w:color w:val="auto"/>
          <w:sz w:val="30"/>
          <w:szCs w:val="30"/>
          <w:highlight w:val="none"/>
        </w:rPr>
      </w:pPr>
      <w:r>
        <w:rPr>
          <w:rFonts w:hint="eastAsia" w:ascii="仿宋_GB2312" w:hAnsi="仿宋_GB2312" w:eastAsia="仿宋_GB2312" w:cs="仿宋_GB2312"/>
          <w:b/>
          <w:bCs/>
          <w:color w:val="auto"/>
          <w:sz w:val="30"/>
          <w:szCs w:val="30"/>
          <w:highlight w:val="none"/>
          <w:lang w:val="en-US" w:eastAsia="zh-CN"/>
        </w:rPr>
        <w:t>甲</w:t>
      </w:r>
      <w:r>
        <w:rPr>
          <w:rFonts w:hint="eastAsia" w:ascii="仿宋_GB2312" w:hAnsi="仿宋_GB2312" w:eastAsia="仿宋_GB2312" w:cs="仿宋_GB2312"/>
          <w:b/>
          <w:bCs/>
          <w:color w:val="auto"/>
          <w:sz w:val="30"/>
          <w:szCs w:val="30"/>
          <w:highlight w:val="none"/>
        </w:rPr>
        <w:t>乙</w:t>
      </w:r>
      <w:r>
        <w:rPr>
          <w:rFonts w:hint="eastAsia" w:ascii="仿宋_GB2312" w:hAnsi="仿宋_GB2312" w:eastAsia="仿宋_GB2312" w:cs="仿宋_GB2312"/>
          <w:b/>
          <w:bCs/>
          <w:color w:val="auto"/>
          <w:sz w:val="30"/>
          <w:szCs w:val="30"/>
          <w:highlight w:val="none"/>
          <w:lang w:val="en-US" w:eastAsia="zh-CN"/>
        </w:rPr>
        <w:t>双</w:t>
      </w:r>
      <w:r>
        <w:rPr>
          <w:rFonts w:hint="eastAsia" w:ascii="仿宋_GB2312" w:hAnsi="仿宋_GB2312" w:eastAsia="仿宋_GB2312" w:cs="仿宋_GB2312"/>
          <w:b/>
          <w:bCs/>
          <w:color w:val="auto"/>
          <w:sz w:val="30"/>
          <w:szCs w:val="30"/>
          <w:highlight w:val="none"/>
        </w:rPr>
        <w:t>方授权业务经办人联系卡</w:t>
      </w:r>
    </w:p>
    <w:tbl>
      <w:tblPr>
        <w:tblStyle w:val="4"/>
        <w:tblpPr w:leftFromText="180" w:rightFromText="180" w:vertAnchor="text" w:horzAnchor="margin" w:tblpXSpec="center" w:tblpY="4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98"/>
        <w:gridCol w:w="4979"/>
      </w:tblGrid>
      <w:tr w14:paraId="6A93D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5098" w:type="dxa"/>
            <w:tcBorders>
              <w:top w:val="single" w:color="auto" w:sz="4" w:space="0"/>
              <w:left w:val="single" w:color="auto" w:sz="4" w:space="0"/>
              <w:bottom w:val="single" w:color="auto" w:sz="4" w:space="0"/>
              <w:right w:val="single" w:color="auto" w:sz="4" w:space="0"/>
            </w:tcBorders>
            <w:noWrap w:val="0"/>
            <w:vAlign w:val="center"/>
          </w:tcPr>
          <w:p w14:paraId="5B12A34C">
            <w:pPr>
              <w:keepNext w:val="0"/>
              <w:keepLines w:val="0"/>
              <w:widowControl/>
              <w:kinsoku/>
              <w:wordWrap/>
              <w:overflowPunct/>
              <w:topLinePunct w:val="0"/>
              <w:bidi w:val="0"/>
              <w:spacing w:line="560" w:lineRule="exact"/>
              <w:ind w:firstLine="480" w:firstLineChars="200"/>
              <w:jc w:val="left"/>
              <w:textAlignment w:val="auto"/>
              <w:rPr>
                <w:rFonts w:hint="eastAsia" w:ascii="宋体" w:hAnsi="宋体" w:eastAsia="宋体" w:cs="Times New Roman"/>
                <w:snapToGrid/>
                <w:color w:val="auto"/>
                <w:sz w:val="24"/>
                <w:szCs w:val="24"/>
                <w:highlight w:val="none"/>
                <w:lang w:eastAsia="zh-CN"/>
              </w:rPr>
            </w:pPr>
            <w:r>
              <w:rPr>
                <w:rFonts w:hint="eastAsia" w:ascii="宋体" w:hAnsi="宋体" w:eastAsia="宋体" w:cs="Times New Roman"/>
                <w:snapToGrid/>
                <w:color w:val="auto"/>
                <w:sz w:val="24"/>
                <w:szCs w:val="24"/>
                <w:highlight w:val="none"/>
                <w:lang w:eastAsia="zh-CN"/>
              </w:rPr>
              <w:t>甲    方：</w:t>
            </w:r>
          </w:p>
          <w:p w14:paraId="2F6FD297">
            <w:pPr>
              <w:keepNext w:val="0"/>
              <w:keepLines w:val="0"/>
              <w:widowControl/>
              <w:kinsoku/>
              <w:wordWrap/>
              <w:overflowPunct/>
              <w:topLinePunct w:val="0"/>
              <w:bidi w:val="0"/>
              <w:spacing w:line="560" w:lineRule="exact"/>
              <w:ind w:firstLine="480" w:firstLineChars="200"/>
              <w:jc w:val="left"/>
              <w:textAlignment w:val="auto"/>
              <w:rPr>
                <w:rFonts w:hint="eastAsia" w:ascii="宋体" w:hAnsi="宋体" w:eastAsia="宋体" w:cs="Times New Roman"/>
                <w:snapToGrid/>
                <w:color w:val="auto"/>
                <w:sz w:val="24"/>
                <w:szCs w:val="24"/>
                <w:highlight w:val="none"/>
                <w:lang w:eastAsia="zh-CN"/>
              </w:rPr>
            </w:pPr>
            <w:r>
              <w:rPr>
                <w:rFonts w:hint="eastAsia" w:ascii="宋体" w:hAnsi="宋体" w:eastAsia="宋体" w:cs="Times New Roman"/>
                <w:snapToGrid/>
                <w:color w:val="auto"/>
                <w:sz w:val="24"/>
                <w:szCs w:val="24"/>
                <w:highlight w:val="none"/>
                <w:lang w:eastAsia="zh-CN"/>
              </w:rPr>
              <w:t>开户银行：</w:t>
            </w:r>
          </w:p>
          <w:p w14:paraId="2ED71E31">
            <w:pPr>
              <w:keepNext w:val="0"/>
              <w:keepLines w:val="0"/>
              <w:widowControl/>
              <w:kinsoku/>
              <w:wordWrap/>
              <w:overflowPunct/>
              <w:topLinePunct w:val="0"/>
              <w:bidi w:val="0"/>
              <w:spacing w:line="560" w:lineRule="exact"/>
              <w:ind w:firstLine="480" w:firstLineChars="200"/>
              <w:jc w:val="left"/>
              <w:textAlignment w:val="auto"/>
              <w:rPr>
                <w:rFonts w:hint="eastAsia" w:ascii="宋体" w:hAnsi="宋体" w:eastAsia="宋体" w:cs="Times New Roman"/>
                <w:snapToGrid/>
                <w:color w:val="auto"/>
                <w:sz w:val="24"/>
                <w:szCs w:val="24"/>
                <w:highlight w:val="none"/>
                <w:lang w:eastAsia="zh-CN"/>
              </w:rPr>
            </w:pPr>
            <w:r>
              <w:rPr>
                <w:rFonts w:hint="eastAsia" w:ascii="宋体" w:hAnsi="宋体" w:eastAsia="宋体" w:cs="Times New Roman"/>
                <w:snapToGrid/>
                <w:color w:val="auto"/>
                <w:sz w:val="24"/>
                <w:szCs w:val="24"/>
                <w:highlight w:val="none"/>
                <w:lang w:eastAsia="zh-CN"/>
              </w:rPr>
              <w:t>账    号：</w:t>
            </w:r>
          </w:p>
        </w:tc>
        <w:tc>
          <w:tcPr>
            <w:tcW w:w="4979" w:type="dxa"/>
            <w:tcBorders>
              <w:top w:val="single" w:color="auto" w:sz="4" w:space="0"/>
              <w:left w:val="single" w:color="auto" w:sz="4" w:space="0"/>
              <w:right w:val="single" w:color="auto" w:sz="4" w:space="0"/>
            </w:tcBorders>
            <w:noWrap w:val="0"/>
            <w:vAlign w:val="center"/>
          </w:tcPr>
          <w:p w14:paraId="77EEC319">
            <w:pPr>
              <w:keepNext w:val="0"/>
              <w:keepLines w:val="0"/>
              <w:widowControl/>
              <w:kinsoku/>
              <w:wordWrap/>
              <w:overflowPunct/>
              <w:topLinePunct w:val="0"/>
              <w:bidi w:val="0"/>
              <w:spacing w:line="560" w:lineRule="exact"/>
              <w:ind w:firstLine="480" w:firstLineChars="200"/>
              <w:jc w:val="left"/>
              <w:textAlignment w:val="auto"/>
              <w:rPr>
                <w:rFonts w:hint="eastAsia" w:ascii="宋体" w:hAnsi="宋体" w:eastAsia="宋体" w:cs="Times New Roman"/>
                <w:snapToGrid/>
                <w:color w:val="auto"/>
                <w:sz w:val="24"/>
                <w:szCs w:val="24"/>
                <w:highlight w:val="none"/>
                <w:lang w:eastAsia="zh-CN"/>
              </w:rPr>
            </w:pPr>
            <w:r>
              <w:rPr>
                <w:rFonts w:hint="eastAsia" w:ascii="宋体" w:hAnsi="宋体" w:eastAsia="宋体" w:cs="Times New Roman"/>
                <w:snapToGrid/>
                <w:color w:val="auto"/>
                <w:sz w:val="24"/>
                <w:szCs w:val="24"/>
                <w:highlight w:val="none"/>
                <w:lang w:eastAsia="zh-CN"/>
              </w:rPr>
              <w:t>乙    方：海垦（儋州）新型环保建材有限公司</w:t>
            </w:r>
          </w:p>
          <w:p w14:paraId="124EF145">
            <w:pPr>
              <w:keepNext w:val="0"/>
              <w:keepLines w:val="0"/>
              <w:widowControl/>
              <w:kinsoku/>
              <w:wordWrap/>
              <w:overflowPunct/>
              <w:topLinePunct w:val="0"/>
              <w:bidi w:val="0"/>
              <w:spacing w:line="560" w:lineRule="exact"/>
              <w:ind w:firstLine="480" w:firstLineChars="200"/>
              <w:jc w:val="left"/>
              <w:textAlignment w:val="auto"/>
              <w:rPr>
                <w:rFonts w:hint="eastAsia" w:ascii="宋体" w:hAnsi="宋体" w:eastAsia="宋体" w:cs="Times New Roman"/>
                <w:snapToGrid/>
                <w:color w:val="auto"/>
                <w:sz w:val="24"/>
                <w:szCs w:val="24"/>
                <w:highlight w:val="none"/>
                <w:lang w:eastAsia="zh-CN"/>
              </w:rPr>
            </w:pPr>
            <w:r>
              <w:rPr>
                <w:rFonts w:hint="eastAsia" w:ascii="宋体" w:hAnsi="宋体" w:eastAsia="宋体" w:cs="Times New Roman"/>
                <w:snapToGrid/>
                <w:color w:val="auto"/>
                <w:sz w:val="24"/>
                <w:szCs w:val="24"/>
                <w:highlight w:val="none"/>
                <w:lang w:eastAsia="zh-CN"/>
              </w:rPr>
              <w:t xml:space="preserve">开户银行：中国银行儋州分行 </w:t>
            </w:r>
          </w:p>
          <w:p w14:paraId="1518A58E">
            <w:pPr>
              <w:keepNext w:val="0"/>
              <w:keepLines w:val="0"/>
              <w:widowControl/>
              <w:kinsoku/>
              <w:wordWrap/>
              <w:overflowPunct/>
              <w:topLinePunct w:val="0"/>
              <w:bidi w:val="0"/>
              <w:spacing w:line="560" w:lineRule="exact"/>
              <w:ind w:firstLine="480" w:firstLineChars="200"/>
              <w:jc w:val="left"/>
              <w:textAlignment w:val="auto"/>
              <w:rPr>
                <w:rFonts w:hint="default" w:ascii="宋体" w:hAnsi="宋体" w:eastAsia="宋体" w:cs="Times New Roman"/>
                <w:snapToGrid/>
                <w:color w:val="auto"/>
                <w:sz w:val="24"/>
                <w:szCs w:val="24"/>
                <w:highlight w:val="none"/>
                <w:lang w:val="en-US" w:eastAsia="zh-CN"/>
              </w:rPr>
            </w:pPr>
            <w:r>
              <w:rPr>
                <w:rFonts w:hint="eastAsia" w:ascii="宋体" w:hAnsi="宋体" w:eastAsia="宋体" w:cs="Times New Roman"/>
                <w:snapToGrid/>
                <w:color w:val="auto"/>
                <w:sz w:val="24"/>
                <w:szCs w:val="24"/>
                <w:highlight w:val="none"/>
                <w:lang w:eastAsia="zh-CN"/>
              </w:rPr>
              <w:t>账    号：266295342891</w:t>
            </w:r>
            <w:r>
              <w:rPr>
                <w:rFonts w:hint="eastAsia" w:ascii="宋体" w:hAnsi="宋体" w:eastAsia="宋体" w:cs="Times New Roman"/>
                <w:snapToGrid/>
                <w:color w:val="auto"/>
                <w:sz w:val="24"/>
                <w:szCs w:val="24"/>
                <w:highlight w:val="none"/>
                <w:lang w:val="en-US" w:eastAsia="zh-CN"/>
              </w:rPr>
              <w:t xml:space="preserve"> </w:t>
            </w:r>
          </w:p>
          <w:p w14:paraId="672107F2">
            <w:pPr>
              <w:keepNext w:val="0"/>
              <w:keepLines w:val="0"/>
              <w:widowControl/>
              <w:kinsoku/>
              <w:wordWrap/>
              <w:overflowPunct/>
              <w:topLinePunct w:val="0"/>
              <w:bidi w:val="0"/>
              <w:spacing w:line="560" w:lineRule="exact"/>
              <w:ind w:firstLine="480" w:firstLineChars="200"/>
              <w:jc w:val="left"/>
              <w:textAlignment w:val="auto"/>
              <w:rPr>
                <w:rFonts w:hint="eastAsia" w:ascii="宋体" w:hAnsi="宋体" w:eastAsia="宋体" w:cs="Times New Roman"/>
                <w:snapToGrid/>
                <w:color w:val="auto"/>
                <w:sz w:val="24"/>
                <w:szCs w:val="24"/>
                <w:highlight w:val="none"/>
                <w:lang w:eastAsia="zh-CN"/>
              </w:rPr>
            </w:pPr>
          </w:p>
        </w:tc>
      </w:tr>
      <w:tr w14:paraId="37435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trPr>
        <w:tc>
          <w:tcPr>
            <w:tcW w:w="5098" w:type="dxa"/>
            <w:tcBorders>
              <w:top w:val="single" w:color="auto" w:sz="4" w:space="0"/>
              <w:left w:val="single" w:color="auto" w:sz="4" w:space="0"/>
              <w:bottom w:val="single" w:color="auto" w:sz="4" w:space="0"/>
              <w:right w:val="single" w:color="auto" w:sz="4" w:space="0"/>
            </w:tcBorders>
            <w:noWrap w:val="0"/>
            <w:vAlign w:val="top"/>
          </w:tcPr>
          <w:p w14:paraId="652F9F95">
            <w:pPr>
              <w:keepNext w:val="0"/>
              <w:keepLines w:val="0"/>
              <w:widowControl/>
              <w:kinsoku/>
              <w:wordWrap/>
              <w:overflowPunct/>
              <w:topLinePunct w:val="0"/>
              <w:bidi w:val="0"/>
              <w:spacing w:line="560" w:lineRule="exact"/>
              <w:ind w:firstLine="480" w:firstLineChars="200"/>
              <w:jc w:val="left"/>
              <w:textAlignment w:val="auto"/>
              <w:rPr>
                <w:rFonts w:hint="eastAsia" w:ascii="宋体" w:hAnsi="宋体" w:eastAsia="宋体" w:cs="Times New Roman"/>
                <w:snapToGrid/>
                <w:color w:val="auto"/>
                <w:sz w:val="24"/>
                <w:szCs w:val="24"/>
                <w:highlight w:val="none"/>
                <w:lang w:eastAsia="zh-CN"/>
              </w:rPr>
            </w:pPr>
            <w:r>
              <w:rPr>
                <w:rFonts w:hint="eastAsia" w:ascii="宋体" w:hAnsi="宋体" w:eastAsia="宋体" w:cs="Times New Roman"/>
                <w:snapToGrid/>
                <w:color w:val="auto"/>
                <w:sz w:val="24"/>
                <w:szCs w:val="24"/>
                <w:highlight w:val="none"/>
                <w:lang w:eastAsia="zh-CN"/>
              </w:rPr>
              <w:t>法定代表人/授权代表（签字）：</w:t>
            </w:r>
          </w:p>
        </w:tc>
        <w:tc>
          <w:tcPr>
            <w:tcW w:w="4979" w:type="dxa"/>
            <w:tcBorders>
              <w:top w:val="single" w:color="auto" w:sz="4" w:space="0"/>
              <w:left w:val="single" w:color="auto" w:sz="4" w:space="0"/>
              <w:bottom w:val="single" w:color="auto" w:sz="4" w:space="0"/>
              <w:right w:val="single" w:color="auto" w:sz="4" w:space="0"/>
            </w:tcBorders>
            <w:noWrap w:val="0"/>
            <w:vAlign w:val="top"/>
          </w:tcPr>
          <w:p w14:paraId="5FB52624">
            <w:pPr>
              <w:keepNext w:val="0"/>
              <w:keepLines w:val="0"/>
              <w:widowControl/>
              <w:kinsoku/>
              <w:wordWrap/>
              <w:overflowPunct/>
              <w:topLinePunct w:val="0"/>
              <w:bidi w:val="0"/>
              <w:spacing w:line="560" w:lineRule="exact"/>
              <w:ind w:firstLine="480" w:firstLineChars="200"/>
              <w:jc w:val="left"/>
              <w:textAlignment w:val="auto"/>
              <w:rPr>
                <w:rFonts w:hint="eastAsia" w:ascii="宋体" w:hAnsi="宋体" w:eastAsia="宋体" w:cs="Times New Roman"/>
                <w:snapToGrid/>
                <w:color w:val="auto"/>
                <w:sz w:val="24"/>
                <w:szCs w:val="24"/>
                <w:highlight w:val="none"/>
                <w:lang w:eastAsia="zh-CN"/>
              </w:rPr>
            </w:pPr>
            <w:r>
              <w:rPr>
                <w:rFonts w:hint="eastAsia" w:ascii="宋体" w:hAnsi="宋体" w:eastAsia="宋体" w:cs="Times New Roman"/>
                <w:snapToGrid/>
                <w:color w:val="auto"/>
                <w:sz w:val="24"/>
                <w:szCs w:val="24"/>
                <w:highlight w:val="none"/>
                <w:lang w:eastAsia="zh-CN"/>
              </w:rPr>
              <w:t xml:space="preserve">法定代表人/授权代表（签字）： </w:t>
            </w:r>
          </w:p>
        </w:tc>
      </w:tr>
      <w:tr w14:paraId="4E43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10077" w:type="dxa"/>
            <w:gridSpan w:val="2"/>
            <w:tcBorders>
              <w:top w:val="single" w:color="auto" w:sz="4" w:space="0"/>
              <w:left w:val="single" w:color="auto" w:sz="4" w:space="0"/>
              <w:bottom w:val="single" w:color="auto" w:sz="4" w:space="0"/>
              <w:right w:val="single" w:color="auto" w:sz="4" w:space="0"/>
            </w:tcBorders>
            <w:noWrap w:val="0"/>
            <w:vAlign w:val="bottom"/>
          </w:tcPr>
          <w:p w14:paraId="46097C5B">
            <w:pPr>
              <w:keepNext w:val="0"/>
              <w:keepLines w:val="0"/>
              <w:widowControl/>
              <w:kinsoku/>
              <w:wordWrap/>
              <w:overflowPunct/>
              <w:topLinePunct w:val="0"/>
              <w:bidi w:val="0"/>
              <w:spacing w:line="560" w:lineRule="exact"/>
              <w:ind w:firstLine="480" w:firstLineChars="200"/>
              <w:jc w:val="left"/>
              <w:textAlignment w:val="auto"/>
              <w:rPr>
                <w:rFonts w:hint="eastAsia" w:ascii="宋体" w:hAnsi="宋体" w:eastAsia="宋体" w:cs="Times New Roman"/>
                <w:snapToGrid/>
                <w:color w:val="auto"/>
                <w:sz w:val="24"/>
                <w:szCs w:val="24"/>
                <w:highlight w:val="none"/>
                <w:lang w:eastAsia="zh-CN"/>
              </w:rPr>
            </w:pPr>
            <w:r>
              <w:rPr>
                <w:rFonts w:hint="eastAsia" w:ascii="宋体" w:hAnsi="宋体" w:eastAsia="宋体" w:cs="Times New Roman"/>
                <w:snapToGrid/>
                <w:color w:val="auto"/>
                <w:sz w:val="24"/>
                <w:szCs w:val="24"/>
                <w:highlight w:val="none"/>
                <w:lang w:eastAsia="zh-CN"/>
              </w:rPr>
              <w:t>签订日期：20    年    月    日</w:t>
            </w:r>
          </w:p>
        </w:tc>
      </w:tr>
    </w:tbl>
    <w:p w14:paraId="492029D8">
      <w:pPr>
        <w:keepNext w:val="0"/>
        <w:keepLines w:val="0"/>
        <w:kinsoku/>
        <w:wordWrap/>
        <w:overflowPunct/>
        <w:topLinePunct w:val="0"/>
        <w:bidi w:val="0"/>
        <w:spacing w:line="560" w:lineRule="exact"/>
        <w:ind w:firstLine="420" w:firstLineChars="200"/>
        <w:jc w:val="left"/>
        <w:textAlignment w:val="auto"/>
        <w:rPr>
          <w:rFonts w:ascii="宋体" w:hAnsi="宋体" w:eastAsia="宋体" w:cs="宋体"/>
          <w:color w:val="auto"/>
          <w:sz w:val="21"/>
          <w:szCs w:val="21"/>
          <w:highlight w:val="none"/>
        </w:rPr>
      </w:pPr>
    </w:p>
    <w:p w14:paraId="55E1D0A0">
      <w:pPr>
        <w:keepNext w:val="0"/>
        <w:keepLines w:val="0"/>
        <w:pageBreakBefore/>
        <w:kinsoku/>
        <w:wordWrap/>
        <w:overflowPunct/>
        <w:topLinePunct w:val="0"/>
        <w:bidi w:val="0"/>
        <w:spacing w:line="560" w:lineRule="exact"/>
        <w:ind w:firstLine="643" w:firstLineChars="200"/>
        <w:jc w:val="left"/>
        <w:textAlignment w:val="auto"/>
        <w:rPr>
          <w:rFonts w:hint="eastAsia" w:ascii="仿宋_GB2312" w:hAnsi="仿宋_GB2312" w:eastAsia="仿宋_GB2312" w:cs="仿宋_GB2312"/>
          <w:b/>
          <w:color w:val="auto"/>
          <w:sz w:val="32"/>
          <w:szCs w:val="32"/>
          <w:highlight w:val="none"/>
          <w:lang w:val="en-US" w:eastAsia="zh-CN"/>
        </w:rPr>
      </w:pPr>
      <w:r>
        <w:rPr>
          <w:rFonts w:hint="eastAsia" w:ascii="仿宋_GB2312" w:hAnsi="仿宋_GB2312" w:eastAsia="仿宋_GB2312" w:cs="仿宋_GB2312"/>
          <w:b/>
          <w:color w:val="auto"/>
          <w:sz w:val="32"/>
          <w:szCs w:val="32"/>
          <w:highlight w:val="none"/>
        </w:rPr>
        <w:t>附件</w:t>
      </w:r>
      <w:r>
        <w:rPr>
          <w:rFonts w:hint="eastAsia" w:ascii="仿宋_GB2312" w:hAnsi="仿宋_GB2312" w:eastAsia="仿宋_GB2312" w:cs="仿宋_GB2312"/>
          <w:b/>
          <w:color w:val="auto"/>
          <w:sz w:val="32"/>
          <w:szCs w:val="32"/>
          <w:highlight w:val="none"/>
          <w:lang w:val="en-US" w:eastAsia="zh-CN"/>
        </w:rPr>
        <w:t>2</w:t>
      </w:r>
    </w:p>
    <w:p w14:paraId="7D93AA4F">
      <w:pPr>
        <w:keepNext w:val="0"/>
        <w:keepLines w:val="0"/>
        <w:kinsoku/>
        <w:wordWrap/>
        <w:overflowPunct/>
        <w:topLinePunct w:val="0"/>
        <w:bidi w:val="0"/>
        <w:spacing w:line="560" w:lineRule="exact"/>
        <w:ind w:firstLine="643" w:firstLineChars="200"/>
        <w:jc w:val="left"/>
        <w:textAlignment w:val="auto"/>
        <w:rPr>
          <w:rFonts w:ascii="宋体" w:hAnsi="宋体" w:eastAsia="宋体" w:cs="Times New Roman"/>
          <w:b/>
          <w:color w:val="auto"/>
          <w:sz w:val="32"/>
          <w:szCs w:val="32"/>
          <w:highlight w:val="none"/>
        </w:rPr>
      </w:pPr>
      <w:r>
        <w:rPr>
          <w:rFonts w:hint="eastAsia" w:ascii="仿宋_GB2312" w:hAnsi="仿宋_GB2312" w:eastAsia="仿宋_GB2312" w:cs="仿宋_GB2312"/>
          <w:b/>
          <w:color w:val="auto"/>
          <w:sz w:val="32"/>
          <w:szCs w:val="32"/>
          <w:highlight w:val="none"/>
        </w:rPr>
        <w:t>授权业务经办人员联系卡</w:t>
      </w:r>
    </w:p>
    <w:tbl>
      <w:tblPr>
        <w:tblStyle w:val="4"/>
        <w:tblW w:w="106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6"/>
        <w:gridCol w:w="1218"/>
        <w:gridCol w:w="1654"/>
        <w:gridCol w:w="1701"/>
        <w:gridCol w:w="2788"/>
        <w:gridCol w:w="1612"/>
      </w:tblGrid>
      <w:tr w14:paraId="4EDF2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706" w:type="dxa"/>
            <w:noWrap w:val="0"/>
            <w:vAlign w:val="center"/>
          </w:tcPr>
          <w:p w14:paraId="74E15889">
            <w:pPr>
              <w:keepNext w:val="0"/>
              <w:keepLines w:val="0"/>
              <w:widowControl/>
              <w:kinsoku/>
              <w:wordWrap/>
              <w:overflowPunct/>
              <w:topLinePunct w:val="0"/>
              <w:bidi w:val="0"/>
              <w:spacing w:line="560" w:lineRule="exact"/>
              <w:ind w:left="-735" w:leftChars="-245" w:firstLine="420" w:firstLineChars="200"/>
              <w:jc w:val="left"/>
              <w:textAlignment w:val="auto"/>
              <w:rPr>
                <w:rFonts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职务</w:t>
            </w:r>
          </w:p>
        </w:tc>
        <w:tc>
          <w:tcPr>
            <w:tcW w:w="1218" w:type="dxa"/>
            <w:noWrap w:val="0"/>
            <w:vAlign w:val="center"/>
          </w:tcPr>
          <w:p w14:paraId="5F9FA596">
            <w:pPr>
              <w:keepNext w:val="0"/>
              <w:keepLines w:val="0"/>
              <w:widowControl/>
              <w:kinsoku/>
              <w:wordWrap/>
              <w:overflowPunct/>
              <w:topLinePunct w:val="0"/>
              <w:bidi w:val="0"/>
              <w:spacing w:line="560" w:lineRule="exact"/>
              <w:ind w:firstLine="420" w:firstLineChars="200"/>
              <w:jc w:val="left"/>
              <w:textAlignment w:val="auto"/>
              <w:rPr>
                <w:rFonts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姓名</w:t>
            </w:r>
          </w:p>
        </w:tc>
        <w:tc>
          <w:tcPr>
            <w:tcW w:w="1654" w:type="dxa"/>
            <w:noWrap w:val="0"/>
            <w:vAlign w:val="center"/>
          </w:tcPr>
          <w:p w14:paraId="3D7E6C74">
            <w:pPr>
              <w:keepNext w:val="0"/>
              <w:keepLines w:val="0"/>
              <w:widowControl/>
              <w:kinsoku/>
              <w:wordWrap/>
              <w:overflowPunct/>
              <w:topLinePunct w:val="0"/>
              <w:bidi w:val="0"/>
              <w:spacing w:line="560" w:lineRule="exact"/>
              <w:ind w:firstLine="420" w:firstLineChars="200"/>
              <w:jc w:val="left"/>
              <w:textAlignment w:val="auto"/>
              <w:rPr>
                <w:rFonts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电话</w:t>
            </w:r>
          </w:p>
        </w:tc>
        <w:tc>
          <w:tcPr>
            <w:tcW w:w="1701" w:type="dxa"/>
            <w:noWrap w:val="0"/>
            <w:vAlign w:val="center"/>
          </w:tcPr>
          <w:p w14:paraId="1F9AB3F9">
            <w:pPr>
              <w:keepNext w:val="0"/>
              <w:keepLines w:val="0"/>
              <w:widowControl/>
              <w:kinsoku/>
              <w:wordWrap/>
              <w:overflowPunct/>
              <w:topLinePunct w:val="0"/>
              <w:bidi w:val="0"/>
              <w:spacing w:line="560" w:lineRule="exact"/>
              <w:ind w:firstLine="420" w:firstLineChars="200"/>
              <w:jc w:val="left"/>
              <w:textAlignment w:val="auto"/>
              <w:rPr>
                <w:rFonts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邮箱地址</w:t>
            </w:r>
          </w:p>
        </w:tc>
        <w:tc>
          <w:tcPr>
            <w:tcW w:w="2788" w:type="dxa"/>
            <w:noWrap w:val="0"/>
            <w:vAlign w:val="center"/>
          </w:tcPr>
          <w:p w14:paraId="566B81DE">
            <w:pPr>
              <w:keepNext w:val="0"/>
              <w:keepLines w:val="0"/>
              <w:widowControl/>
              <w:kinsoku/>
              <w:wordWrap/>
              <w:overflowPunct/>
              <w:topLinePunct w:val="0"/>
              <w:bidi w:val="0"/>
              <w:spacing w:line="560" w:lineRule="exact"/>
              <w:ind w:firstLine="420" w:firstLineChars="200"/>
              <w:jc w:val="left"/>
              <w:textAlignment w:val="auto"/>
              <w:rPr>
                <w:rFonts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身份证号码</w:t>
            </w:r>
          </w:p>
        </w:tc>
        <w:tc>
          <w:tcPr>
            <w:tcW w:w="1612" w:type="dxa"/>
            <w:noWrap w:val="0"/>
            <w:vAlign w:val="center"/>
          </w:tcPr>
          <w:p w14:paraId="7C0AA56C">
            <w:pPr>
              <w:keepNext w:val="0"/>
              <w:keepLines w:val="0"/>
              <w:widowControl/>
              <w:kinsoku/>
              <w:wordWrap/>
              <w:overflowPunct/>
              <w:topLinePunct w:val="0"/>
              <w:bidi w:val="0"/>
              <w:spacing w:line="560" w:lineRule="exact"/>
              <w:ind w:firstLine="420" w:firstLineChars="200"/>
              <w:jc w:val="left"/>
              <w:textAlignment w:val="auto"/>
              <w:rPr>
                <w:rFonts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签名并按手印</w:t>
            </w:r>
          </w:p>
        </w:tc>
      </w:tr>
      <w:tr w14:paraId="46327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706" w:type="dxa"/>
            <w:noWrap w:val="0"/>
            <w:vAlign w:val="center"/>
          </w:tcPr>
          <w:p w14:paraId="15895A0D">
            <w:pPr>
              <w:keepNext w:val="0"/>
              <w:keepLines w:val="0"/>
              <w:widowControl/>
              <w:kinsoku/>
              <w:wordWrap/>
              <w:overflowPunct/>
              <w:topLinePunct w:val="0"/>
              <w:bidi w:val="0"/>
              <w:spacing w:line="560" w:lineRule="exact"/>
              <w:ind w:firstLine="420" w:firstLineChars="200"/>
              <w:jc w:val="left"/>
              <w:textAlignment w:val="auto"/>
              <w:rPr>
                <w:rFonts w:hint="eastAsia"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rPr>
              <w:t>调价函接收/签认人</w:t>
            </w:r>
            <w:r>
              <w:rPr>
                <w:rFonts w:hint="eastAsia" w:ascii="宋体" w:hAnsi="宋体" w:eastAsia="宋体" w:cs="Times New Roman"/>
                <w:color w:val="auto"/>
                <w:kern w:val="0"/>
                <w:sz w:val="21"/>
                <w:szCs w:val="21"/>
                <w:highlight w:val="none"/>
                <w:lang w:eastAsia="zh-CN"/>
              </w:rPr>
              <w:t>（</w:t>
            </w:r>
            <w:r>
              <w:rPr>
                <w:rFonts w:hint="eastAsia" w:ascii="宋体" w:hAnsi="宋体" w:eastAsia="宋体" w:cs="Times New Roman"/>
                <w:color w:val="auto"/>
                <w:kern w:val="0"/>
                <w:sz w:val="21"/>
                <w:szCs w:val="21"/>
                <w:highlight w:val="none"/>
                <w:lang w:val="en-US" w:eastAsia="zh-CN"/>
              </w:rPr>
              <w:t>甲方</w:t>
            </w:r>
            <w:r>
              <w:rPr>
                <w:rFonts w:hint="eastAsia" w:ascii="宋体" w:hAnsi="宋体" w:eastAsia="宋体" w:cs="Times New Roman"/>
                <w:color w:val="auto"/>
                <w:kern w:val="0"/>
                <w:sz w:val="21"/>
                <w:szCs w:val="21"/>
                <w:highlight w:val="none"/>
                <w:lang w:eastAsia="zh-CN"/>
              </w:rPr>
              <w:t>）</w:t>
            </w:r>
          </w:p>
        </w:tc>
        <w:tc>
          <w:tcPr>
            <w:tcW w:w="1218" w:type="dxa"/>
            <w:noWrap w:val="0"/>
            <w:vAlign w:val="center"/>
          </w:tcPr>
          <w:p w14:paraId="37040C63">
            <w:pPr>
              <w:keepNext w:val="0"/>
              <w:keepLines w:val="0"/>
              <w:widowControl/>
              <w:kinsoku/>
              <w:wordWrap/>
              <w:overflowPunct/>
              <w:topLinePunct w:val="0"/>
              <w:bidi w:val="0"/>
              <w:spacing w:line="560" w:lineRule="exact"/>
              <w:ind w:firstLine="420" w:firstLineChars="200"/>
              <w:jc w:val="left"/>
              <w:textAlignment w:val="auto"/>
              <w:rPr>
                <w:rFonts w:ascii="宋体" w:hAnsi="宋体" w:eastAsia="宋体" w:cs="Times New Roman"/>
                <w:color w:val="auto"/>
                <w:kern w:val="0"/>
                <w:sz w:val="21"/>
                <w:szCs w:val="21"/>
                <w:highlight w:val="none"/>
              </w:rPr>
            </w:pPr>
          </w:p>
        </w:tc>
        <w:tc>
          <w:tcPr>
            <w:tcW w:w="1654" w:type="dxa"/>
            <w:noWrap w:val="0"/>
            <w:vAlign w:val="center"/>
          </w:tcPr>
          <w:p w14:paraId="411DB030">
            <w:pPr>
              <w:keepNext w:val="0"/>
              <w:keepLines w:val="0"/>
              <w:widowControl/>
              <w:kinsoku/>
              <w:wordWrap/>
              <w:overflowPunct/>
              <w:topLinePunct w:val="0"/>
              <w:bidi w:val="0"/>
              <w:spacing w:line="560" w:lineRule="exact"/>
              <w:ind w:firstLine="420" w:firstLineChars="200"/>
              <w:jc w:val="left"/>
              <w:textAlignment w:val="auto"/>
              <w:rPr>
                <w:rFonts w:ascii="宋体" w:hAnsi="宋体" w:eastAsia="宋体" w:cs="Times New Roman"/>
                <w:color w:val="auto"/>
                <w:kern w:val="0"/>
                <w:sz w:val="21"/>
                <w:szCs w:val="21"/>
                <w:highlight w:val="none"/>
              </w:rPr>
            </w:pPr>
          </w:p>
        </w:tc>
        <w:tc>
          <w:tcPr>
            <w:tcW w:w="1701" w:type="dxa"/>
            <w:noWrap w:val="0"/>
            <w:vAlign w:val="center"/>
          </w:tcPr>
          <w:p w14:paraId="02A1B541">
            <w:pPr>
              <w:keepNext w:val="0"/>
              <w:keepLines w:val="0"/>
              <w:widowControl/>
              <w:kinsoku/>
              <w:wordWrap/>
              <w:overflowPunct/>
              <w:topLinePunct w:val="0"/>
              <w:bidi w:val="0"/>
              <w:spacing w:line="560" w:lineRule="exact"/>
              <w:ind w:firstLine="420" w:firstLineChars="200"/>
              <w:jc w:val="left"/>
              <w:textAlignment w:val="auto"/>
              <w:rPr>
                <w:rFonts w:ascii="宋体" w:hAnsi="宋体" w:eastAsia="宋体" w:cs="Times New Roman"/>
                <w:color w:val="auto"/>
                <w:kern w:val="0"/>
                <w:sz w:val="21"/>
                <w:szCs w:val="21"/>
                <w:highlight w:val="none"/>
              </w:rPr>
            </w:pPr>
          </w:p>
        </w:tc>
        <w:tc>
          <w:tcPr>
            <w:tcW w:w="2788" w:type="dxa"/>
            <w:noWrap w:val="0"/>
            <w:vAlign w:val="center"/>
          </w:tcPr>
          <w:p w14:paraId="6348948A">
            <w:pPr>
              <w:keepNext w:val="0"/>
              <w:keepLines w:val="0"/>
              <w:widowControl/>
              <w:kinsoku/>
              <w:wordWrap/>
              <w:overflowPunct/>
              <w:topLinePunct w:val="0"/>
              <w:bidi w:val="0"/>
              <w:spacing w:line="560" w:lineRule="exact"/>
              <w:ind w:firstLine="420" w:firstLineChars="200"/>
              <w:jc w:val="left"/>
              <w:textAlignment w:val="auto"/>
              <w:rPr>
                <w:rFonts w:ascii="宋体" w:hAnsi="宋体" w:eastAsia="宋体" w:cs="Times New Roman"/>
                <w:color w:val="auto"/>
                <w:kern w:val="0"/>
                <w:sz w:val="21"/>
                <w:szCs w:val="21"/>
                <w:highlight w:val="none"/>
              </w:rPr>
            </w:pPr>
          </w:p>
        </w:tc>
        <w:tc>
          <w:tcPr>
            <w:tcW w:w="1612" w:type="dxa"/>
            <w:noWrap w:val="0"/>
            <w:vAlign w:val="center"/>
          </w:tcPr>
          <w:p w14:paraId="505EA9CF">
            <w:pPr>
              <w:keepNext w:val="0"/>
              <w:keepLines w:val="0"/>
              <w:widowControl/>
              <w:kinsoku/>
              <w:wordWrap/>
              <w:overflowPunct/>
              <w:topLinePunct w:val="0"/>
              <w:bidi w:val="0"/>
              <w:spacing w:line="560" w:lineRule="exact"/>
              <w:ind w:firstLine="420" w:firstLineChars="200"/>
              <w:jc w:val="left"/>
              <w:textAlignment w:val="auto"/>
              <w:rPr>
                <w:rFonts w:ascii="宋体" w:hAnsi="宋体" w:eastAsia="宋体" w:cs="Times New Roman"/>
                <w:color w:val="auto"/>
                <w:kern w:val="0"/>
                <w:sz w:val="21"/>
                <w:szCs w:val="21"/>
                <w:highlight w:val="none"/>
              </w:rPr>
            </w:pPr>
          </w:p>
        </w:tc>
      </w:tr>
      <w:tr w14:paraId="65B2A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706" w:type="dxa"/>
            <w:noWrap w:val="0"/>
            <w:vAlign w:val="center"/>
          </w:tcPr>
          <w:p w14:paraId="3B7E5A53">
            <w:pPr>
              <w:keepNext w:val="0"/>
              <w:keepLines w:val="0"/>
              <w:widowControl/>
              <w:kinsoku/>
              <w:wordWrap/>
              <w:overflowPunct/>
              <w:topLinePunct w:val="0"/>
              <w:bidi w:val="0"/>
              <w:spacing w:line="560" w:lineRule="exact"/>
              <w:ind w:firstLine="420" w:firstLineChars="200"/>
              <w:jc w:val="left"/>
              <w:textAlignment w:val="auto"/>
              <w:rPr>
                <w:rFonts w:hint="eastAsia"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rPr>
              <w:t>合同及补充协议授权签订人</w:t>
            </w:r>
            <w:r>
              <w:rPr>
                <w:rFonts w:hint="eastAsia" w:ascii="宋体" w:hAnsi="宋体" w:eastAsia="宋体" w:cs="Times New Roman"/>
                <w:color w:val="auto"/>
                <w:kern w:val="0"/>
                <w:sz w:val="21"/>
                <w:szCs w:val="21"/>
                <w:highlight w:val="none"/>
                <w:lang w:eastAsia="zh-CN"/>
              </w:rPr>
              <w:t>（</w:t>
            </w:r>
            <w:r>
              <w:rPr>
                <w:rFonts w:hint="eastAsia" w:ascii="宋体" w:hAnsi="宋体" w:eastAsia="宋体" w:cs="Times New Roman"/>
                <w:color w:val="auto"/>
                <w:kern w:val="0"/>
                <w:sz w:val="21"/>
                <w:szCs w:val="21"/>
                <w:highlight w:val="none"/>
                <w:lang w:val="en-US" w:eastAsia="zh-CN"/>
              </w:rPr>
              <w:t>甲方</w:t>
            </w:r>
            <w:r>
              <w:rPr>
                <w:rFonts w:hint="eastAsia" w:ascii="宋体" w:hAnsi="宋体" w:eastAsia="宋体" w:cs="Times New Roman"/>
                <w:color w:val="auto"/>
                <w:kern w:val="0"/>
                <w:sz w:val="21"/>
                <w:szCs w:val="21"/>
                <w:highlight w:val="none"/>
                <w:lang w:eastAsia="zh-CN"/>
              </w:rPr>
              <w:t>）</w:t>
            </w:r>
          </w:p>
        </w:tc>
        <w:tc>
          <w:tcPr>
            <w:tcW w:w="1218" w:type="dxa"/>
            <w:noWrap w:val="0"/>
            <w:vAlign w:val="center"/>
          </w:tcPr>
          <w:p w14:paraId="29B31AB1">
            <w:pPr>
              <w:keepNext w:val="0"/>
              <w:keepLines w:val="0"/>
              <w:widowControl/>
              <w:kinsoku/>
              <w:wordWrap/>
              <w:overflowPunct/>
              <w:topLinePunct w:val="0"/>
              <w:bidi w:val="0"/>
              <w:spacing w:line="560" w:lineRule="exact"/>
              <w:ind w:firstLine="420" w:firstLineChars="200"/>
              <w:jc w:val="left"/>
              <w:textAlignment w:val="auto"/>
              <w:rPr>
                <w:rFonts w:ascii="宋体" w:hAnsi="宋体" w:eastAsia="宋体" w:cs="Times New Roman"/>
                <w:color w:val="auto"/>
                <w:kern w:val="0"/>
                <w:sz w:val="21"/>
                <w:szCs w:val="21"/>
                <w:highlight w:val="none"/>
              </w:rPr>
            </w:pPr>
          </w:p>
        </w:tc>
        <w:tc>
          <w:tcPr>
            <w:tcW w:w="1654" w:type="dxa"/>
            <w:noWrap w:val="0"/>
            <w:vAlign w:val="center"/>
          </w:tcPr>
          <w:p w14:paraId="57BB5ADE">
            <w:pPr>
              <w:keepNext w:val="0"/>
              <w:keepLines w:val="0"/>
              <w:widowControl/>
              <w:kinsoku/>
              <w:wordWrap/>
              <w:overflowPunct/>
              <w:topLinePunct w:val="0"/>
              <w:bidi w:val="0"/>
              <w:spacing w:line="560" w:lineRule="exact"/>
              <w:ind w:firstLine="420" w:firstLineChars="200"/>
              <w:jc w:val="left"/>
              <w:textAlignment w:val="auto"/>
              <w:rPr>
                <w:rFonts w:ascii="宋体" w:hAnsi="宋体" w:eastAsia="宋体" w:cs="Times New Roman"/>
                <w:color w:val="auto"/>
                <w:kern w:val="0"/>
                <w:sz w:val="21"/>
                <w:szCs w:val="21"/>
                <w:highlight w:val="none"/>
              </w:rPr>
            </w:pPr>
          </w:p>
        </w:tc>
        <w:tc>
          <w:tcPr>
            <w:tcW w:w="1701" w:type="dxa"/>
            <w:noWrap w:val="0"/>
            <w:vAlign w:val="center"/>
          </w:tcPr>
          <w:p w14:paraId="7155AFC3">
            <w:pPr>
              <w:keepNext w:val="0"/>
              <w:keepLines w:val="0"/>
              <w:widowControl/>
              <w:kinsoku/>
              <w:wordWrap/>
              <w:overflowPunct/>
              <w:topLinePunct w:val="0"/>
              <w:bidi w:val="0"/>
              <w:spacing w:line="560" w:lineRule="exact"/>
              <w:ind w:firstLine="420" w:firstLineChars="200"/>
              <w:jc w:val="left"/>
              <w:textAlignment w:val="auto"/>
              <w:rPr>
                <w:rFonts w:ascii="宋体" w:hAnsi="宋体" w:eastAsia="宋体" w:cs="Times New Roman"/>
                <w:color w:val="auto"/>
                <w:kern w:val="0"/>
                <w:sz w:val="21"/>
                <w:szCs w:val="21"/>
                <w:highlight w:val="none"/>
              </w:rPr>
            </w:pPr>
          </w:p>
        </w:tc>
        <w:tc>
          <w:tcPr>
            <w:tcW w:w="2788" w:type="dxa"/>
            <w:noWrap w:val="0"/>
            <w:vAlign w:val="center"/>
          </w:tcPr>
          <w:p w14:paraId="5C8CD985">
            <w:pPr>
              <w:keepNext w:val="0"/>
              <w:keepLines w:val="0"/>
              <w:widowControl/>
              <w:kinsoku/>
              <w:wordWrap/>
              <w:overflowPunct/>
              <w:topLinePunct w:val="0"/>
              <w:bidi w:val="0"/>
              <w:spacing w:line="560" w:lineRule="exact"/>
              <w:ind w:firstLine="420" w:firstLineChars="200"/>
              <w:jc w:val="left"/>
              <w:textAlignment w:val="auto"/>
              <w:rPr>
                <w:rFonts w:ascii="宋体" w:hAnsi="宋体" w:eastAsia="宋体" w:cs="Times New Roman"/>
                <w:color w:val="auto"/>
                <w:kern w:val="0"/>
                <w:sz w:val="21"/>
                <w:szCs w:val="21"/>
                <w:highlight w:val="none"/>
              </w:rPr>
            </w:pPr>
          </w:p>
        </w:tc>
        <w:tc>
          <w:tcPr>
            <w:tcW w:w="1612" w:type="dxa"/>
            <w:noWrap w:val="0"/>
            <w:vAlign w:val="center"/>
          </w:tcPr>
          <w:p w14:paraId="55435242">
            <w:pPr>
              <w:keepNext w:val="0"/>
              <w:keepLines w:val="0"/>
              <w:widowControl/>
              <w:kinsoku/>
              <w:wordWrap/>
              <w:overflowPunct/>
              <w:topLinePunct w:val="0"/>
              <w:bidi w:val="0"/>
              <w:spacing w:line="560" w:lineRule="exact"/>
              <w:ind w:firstLine="420" w:firstLineChars="200"/>
              <w:jc w:val="left"/>
              <w:textAlignment w:val="auto"/>
              <w:rPr>
                <w:rFonts w:ascii="宋体" w:hAnsi="宋体" w:eastAsia="宋体" w:cs="Times New Roman"/>
                <w:color w:val="auto"/>
                <w:kern w:val="0"/>
                <w:sz w:val="21"/>
                <w:szCs w:val="21"/>
                <w:highlight w:val="none"/>
              </w:rPr>
            </w:pPr>
          </w:p>
        </w:tc>
      </w:tr>
      <w:tr w14:paraId="1AF8B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706" w:type="dxa"/>
            <w:noWrap w:val="0"/>
            <w:vAlign w:val="center"/>
          </w:tcPr>
          <w:p w14:paraId="1E72B448">
            <w:pPr>
              <w:keepNext w:val="0"/>
              <w:keepLines w:val="0"/>
              <w:widowControl/>
              <w:kinsoku/>
              <w:wordWrap/>
              <w:overflowPunct/>
              <w:topLinePunct w:val="0"/>
              <w:bidi w:val="0"/>
              <w:spacing w:line="560" w:lineRule="exact"/>
              <w:ind w:firstLine="420" w:firstLineChars="200"/>
              <w:jc w:val="left"/>
              <w:textAlignment w:val="auto"/>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rPr>
              <w:t>调价函接收/签认人</w:t>
            </w:r>
            <w:r>
              <w:rPr>
                <w:rFonts w:hint="eastAsia" w:ascii="宋体" w:hAnsi="宋体" w:eastAsia="宋体" w:cs="Times New Roman"/>
                <w:color w:val="auto"/>
                <w:kern w:val="0"/>
                <w:sz w:val="21"/>
                <w:szCs w:val="21"/>
                <w:highlight w:val="none"/>
                <w:lang w:eastAsia="zh-CN"/>
              </w:rPr>
              <w:t>（</w:t>
            </w:r>
            <w:r>
              <w:rPr>
                <w:rFonts w:hint="eastAsia" w:ascii="宋体" w:hAnsi="宋体" w:eastAsia="宋体" w:cs="Times New Roman"/>
                <w:color w:val="auto"/>
                <w:kern w:val="0"/>
                <w:sz w:val="21"/>
                <w:szCs w:val="21"/>
                <w:highlight w:val="none"/>
                <w:lang w:val="en-US" w:eastAsia="zh-CN"/>
              </w:rPr>
              <w:t>乙方</w:t>
            </w:r>
            <w:r>
              <w:rPr>
                <w:rFonts w:hint="eastAsia" w:ascii="宋体" w:hAnsi="宋体" w:eastAsia="宋体" w:cs="Times New Roman"/>
                <w:color w:val="auto"/>
                <w:kern w:val="0"/>
                <w:sz w:val="21"/>
                <w:szCs w:val="21"/>
                <w:highlight w:val="none"/>
                <w:lang w:eastAsia="zh-CN"/>
              </w:rPr>
              <w:t>）</w:t>
            </w:r>
          </w:p>
        </w:tc>
        <w:tc>
          <w:tcPr>
            <w:tcW w:w="1218" w:type="dxa"/>
            <w:noWrap w:val="0"/>
            <w:vAlign w:val="center"/>
          </w:tcPr>
          <w:p w14:paraId="7048B564">
            <w:pPr>
              <w:keepNext w:val="0"/>
              <w:keepLines w:val="0"/>
              <w:widowControl/>
              <w:kinsoku/>
              <w:wordWrap/>
              <w:overflowPunct/>
              <w:topLinePunct w:val="0"/>
              <w:bidi w:val="0"/>
              <w:spacing w:line="560" w:lineRule="exact"/>
              <w:ind w:firstLine="420" w:firstLineChars="200"/>
              <w:jc w:val="left"/>
              <w:textAlignment w:val="auto"/>
              <w:rPr>
                <w:rFonts w:ascii="宋体" w:hAnsi="宋体" w:eastAsia="宋体" w:cs="Times New Roman"/>
                <w:color w:val="auto"/>
                <w:kern w:val="0"/>
                <w:sz w:val="21"/>
                <w:szCs w:val="21"/>
                <w:highlight w:val="none"/>
              </w:rPr>
            </w:pPr>
          </w:p>
        </w:tc>
        <w:tc>
          <w:tcPr>
            <w:tcW w:w="1654" w:type="dxa"/>
            <w:noWrap w:val="0"/>
            <w:vAlign w:val="center"/>
          </w:tcPr>
          <w:p w14:paraId="1EBE89D6">
            <w:pPr>
              <w:keepNext w:val="0"/>
              <w:keepLines w:val="0"/>
              <w:widowControl/>
              <w:kinsoku/>
              <w:wordWrap/>
              <w:overflowPunct/>
              <w:topLinePunct w:val="0"/>
              <w:bidi w:val="0"/>
              <w:spacing w:line="560" w:lineRule="exact"/>
              <w:ind w:firstLine="420" w:firstLineChars="200"/>
              <w:jc w:val="left"/>
              <w:textAlignment w:val="auto"/>
              <w:rPr>
                <w:rFonts w:ascii="宋体" w:hAnsi="宋体" w:eastAsia="宋体" w:cs="Times New Roman"/>
                <w:color w:val="auto"/>
                <w:kern w:val="0"/>
                <w:sz w:val="21"/>
                <w:szCs w:val="21"/>
                <w:highlight w:val="none"/>
              </w:rPr>
            </w:pPr>
          </w:p>
        </w:tc>
        <w:tc>
          <w:tcPr>
            <w:tcW w:w="1701" w:type="dxa"/>
            <w:noWrap w:val="0"/>
            <w:vAlign w:val="center"/>
          </w:tcPr>
          <w:p w14:paraId="7570B325">
            <w:pPr>
              <w:keepNext w:val="0"/>
              <w:keepLines w:val="0"/>
              <w:widowControl/>
              <w:kinsoku/>
              <w:wordWrap/>
              <w:overflowPunct/>
              <w:topLinePunct w:val="0"/>
              <w:bidi w:val="0"/>
              <w:spacing w:line="560" w:lineRule="exact"/>
              <w:ind w:firstLine="420" w:firstLineChars="200"/>
              <w:jc w:val="left"/>
              <w:textAlignment w:val="auto"/>
              <w:rPr>
                <w:rFonts w:ascii="宋体" w:hAnsi="宋体" w:eastAsia="宋体" w:cs="Times New Roman"/>
                <w:color w:val="auto"/>
                <w:kern w:val="0"/>
                <w:sz w:val="21"/>
                <w:szCs w:val="21"/>
                <w:highlight w:val="none"/>
              </w:rPr>
            </w:pPr>
          </w:p>
        </w:tc>
        <w:tc>
          <w:tcPr>
            <w:tcW w:w="2788" w:type="dxa"/>
            <w:noWrap w:val="0"/>
            <w:vAlign w:val="center"/>
          </w:tcPr>
          <w:p w14:paraId="3777CD8B">
            <w:pPr>
              <w:keepNext w:val="0"/>
              <w:keepLines w:val="0"/>
              <w:widowControl/>
              <w:kinsoku/>
              <w:wordWrap/>
              <w:overflowPunct/>
              <w:topLinePunct w:val="0"/>
              <w:bidi w:val="0"/>
              <w:spacing w:line="560" w:lineRule="exact"/>
              <w:ind w:firstLine="420" w:firstLineChars="200"/>
              <w:jc w:val="left"/>
              <w:textAlignment w:val="auto"/>
              <w:rPr>
                <w:rFonts w:ascii="宋体" w:hAnsi="宋体" w:eastAsia="宋体" w:cs="Times New Roman"/>
                <w:color w:val="auto"/>
                <w:kern w:val="0"/>
                <w:sz w:val="21"/>
                <w:szCs w:val="21"/>
                <w:highlight w:val="none"/>
              </w:rPr>
            </w:pPr>
          </w:p>
        </w:tc>
        <w:tc>
          <w:tcPr>
            <w:tcW w:w="1612" w:type="dxa"/>
            <w:noWrap w:val="0"/>
            <w:vAlign w:val="center"/>
          </w:tcPr>
          <w:p w14:paraId="1EF2DACC">
            <w:pPr>
              <w:keepNext w:val="0"/>
              <w:keepLines w:val="0"/>
              <w:widowControl/>
              <w:kinsoku/>
              <w:wordWrap/>
              <w:overflowPunct/>
              <w:topLinePunct w:val="0"/>
              <w:bidi w:val="0"/>
              <w:spacing w:line="560" w:lineRule="exact"/>
              <w:ind w:firstLine="420" w:firstLineChars="200"/>
              <w:jc w:val="left"/>
              <w:textAlignment w:val="auto"/>
              <w:rPr>
                <w:rFonts w:ascii="宋体" w:hAnsi="宋体" w:eastAsia="宋体" w:cs="Times New Roman"/>
                <w:color w:val="auto"/>
                <w:kern w:val="0"/>
                <w:sz w:val="21"/>
                <w:szCs w:val="21"/>
                <w:highlight w:val="none"/>
              </w:rPr>
            </w:pPr>
          </w:p>
        </w:tc>
      </w:tr>
      <w:tr w14:paraId="1DB87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706" w:type="dxa"/>
            <w:noWrap w:val="0"/>
            <w:vAlign w:val="center"/>
          </w:tcPr>
          <w:p w14:paraId="575A89C2">
            <w:pPr>
              <w:keepNext w:val="0"/>
              <w:keepLines w:val="0"/>
              <w:widowControl/>
              <w:kinsoku/>
              <w:wordWrap/>
              <w:overflowPunct/>
              <w:topLinePunct w:val="0"/>
              <w:bidi w:val="0"/>
              <w:spacing w:line="560" w:lineRule="exact"/>
              <w:ind w:firstLine="420" w:firstLineChars="200"/>
              <w:jc w:val="left"/>
              <w:textAlignment w:val="auto"/>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rPr>
              <w:t>合同及补充协议授权签订人</w:t>
            </w:r>
            <w:r>
              <w:rPr>
                <w:rFonts w:hint="eastAsia" w:ascii="宋体" w:hAnsi="宋体" w:eastAsia="宋体" w:cs="Times New Roman"/>
                <w:color w:val="auto"/>
                <w:kern w:val="0"/>
                <w:sz w:val="21"/>
                <w:szCs w:val="21"/>
                <w:highlight w:val="none"/>
                <w:lang w:eastAsia="zh-CN"/>
              </w:rPr>
              <w:t>（</w:t>
            </w:r>
            <w:r>
              <w:rPr>
                <w:rFonts w:hint="eastAsia" w:ascii="宋体" w:hAnsi="宋体" w:eastAsia="宋体" w:cs="Times New Roman"/>
                <w:color w:val="auto"/>
                <w:kern w:val="0"/>
                <w:sz w:val="21"/>
                <w:szCs w:val="21"/>
                <w:highlight w:val="none"/>
                <w:lang w:val="en-US" w:eastAsia="zh-CN"/>
              </w:rPr>
              <w:t>乙方</w:t>
            </w:r>
            <w:r>
              <w:rPr>
                <w:rFonts w:hint="eastAsia" w:ascii="宋体" w:hAnsi="宋体" w:eastAsia="宋体" w:cs="Times New Roman"/>
                <w:color w:val="auto"/>
                <w:kern w:val="0"/>
                <w:sz w:val="21"/>
                <w:szCs w:val="21"/>
                <w:highlight w:val="none"/>
                <w:lang w:eastAsia="zh-CN"/>
              </w:rPr>
              <w:t>）</w:t>
            </w:r>
          </w:p>
        </w:tc>
        <w:tc>
          <w:tcPr>
            <w:tcW w:w="1218" w:type="dxa"/>
            <w:noWrap w:val="0"/>
            <w:vAlign w:val="center"/>
          </w:tcPr>
          <w:p w14:paraId="38D49569">
            <w:pPr>
              <w:keepNext w:val="0"/>
              <w:keepLines w:val="0"/>
              <w:widowControl/>
              <w:kinsoku/>
              <w:wordWrap/>
              <w:overflowPunct/>
              <w:topLinePunct w:val="0"/>
              <w:bidi w:val="0"/>
              <w:spacing w:line="560" w:lineRule="exact"/>
              <w:ind w:firstLine="420" w:firstLineChars="200"/>
              <w:jc w:val="left"/>
              <w:textAlignment w:val="auto"/>
              <w:rPr>
                <w:rFonts w:ascii="宋体" w:hAnsi="宋体" w:eastAsia="宋体" w:cs="Times New Roman"/>
                <w:color w:val="auto"/>
                <w:kern w:val="0"/>
                <w:sz w:val="21"/>
                <w:szCs w:val="21"/>
                <w:highlight w:val="none"/>
              </w:rPr>
            </w:pPr>
          </w:p>
        </w:tc>
        <w:tc>
          <w:tcPr>
            <w:tcW w:w="1654" w:type="dxa"/>
            <w:noWrap w:val="0"/>
            <w:vAlign w:val="center"/>
          </w:tcPr>
          <w:p w14:paraId="1B7FE67C">
            <w:pPr>
              <w:keepNext w:val="0"/>
              <w:keepLines w:val="0"/>
              <w:widowControl/>
              <w:kinsoku/>
              <w:wordWrap/>
              <w:overflowPunct/>
              <w:topLinePunct w:val="0"/>
              <w:bidi w:val="0"/>
              <w:spacing w:line="560" w:lineRule="exact"/>
              <w:ind w:firstLine="420" w:firstLineChars="200"/>
              <w:jc w:val="left"/>
              <w:textAlignment w:val="auto"/>
              <w:rPr>
                <w:rFonts w:ascii="宋体" w:hAnsi="宋体" w:eastAsia="宋体" w:cs="Times New Roman"/>
                <w:color w:val="auto"/>
                <w:kern w:val="0"/>
                <w:sz w:val="21"/>
                <w:szCs w:val="21"/>
                <w:highlight w:val="none"/>
              </w:rPr>
            </w:pPr>
          </w:p>
        </w:tc>
        <w:tc>
          <w:tcPr>
            <w:tcW w:w="1701" w:type="dxa"/>
            <w:noWrap w:val="0"/>
            <w:vAlign w:val="center"/>
          </w:tcPr>
          <w:p w14:paraId="663A6A85">
            <w:pPr>
              <w:keepNext w:val="0"/>
              <w:keepLines w:val="0"/>
              <w:widowControl/>
              <w:kinsoku/>
              <w:wordWrap/>
              <w:overflowPunct/>
              <w:topLinePunct w:val="0"/>
              <w:bidi w:val="0"/>
              <w:spacing w:line="560" w:lineRule="exact"/>
              <w:ind w:firstLine="420" w:firstLineChars="200"/>
              <w:jc w:val="left"/>
              <w:textAlignment w:val="auto"/>
              <w:rPr>
                <w:rFonts w:ascii="宋体" w:hAnsi="宋体" w:eastAsia="宋体" w:cs="Times New Roman"/>
                <w:color w:val="auto"/>
                <w:kern w:val="0"/>
                <w:sz w:val="21"/>
                <w:szCs w:val="21"/>
                <w:highlight w:val="none"/>
              </w:rPr>
            </w:pPr>
          </w:p>
        </w:tc>
        <w:tc>
          <w:tcPr>
            <w:tcW w:w="2788" w:type="dxa"/>
            <w:noWrap w:val="0"/>
            <w:vAlign w:val="center"/>
          </w:tcPr>
          <w:p w14:paraId="48279801">
            <w:pPr>
              <w:keepNext w:val="0"/>
              <w:keepLines w:val="0"/>
              <w:widowControl/>
              <w:kinsoku/>
              <w:wordWrap/>
              <w:overflowPunct/>
              <w:topLinePunct w:val="0"/>
              <w:bidi w:val="0"/>
              <w:spacing w:line="560" w:lineRule="exact"/>
              <w:ind w:firstLine="420" w:firstLineChars="200"/>
              <w:jc w:val="left"/>
              <w:textAlignment w:val="auto"/>
              <w:rPr>
                <w:rFonts w:ascii="宋体" w:hAnsi="宋体" w:eastAsia="宋体" w:cs="Times New Roman"/>
                <w:color w:val="auto"/>
                <w:kern w:val="0"/>
                <w:sz w:val="21"/>
                <w:szCs w:val="21"/>
                <w:highlight w:val="none"/>
              </w:rPr>
            </w:pPr>
          </w:p>
        </w:tc>
        <w:tc>
          <w:tcPr>
            <w:tcW w:w="1612" w:type="dxa"/>
            <w:noWrap w:val="0"/>
            <w:vAlign w:val="center"/>
          </w:tcPr>
          <w:p w14:paraId="78D587E8">
            <w:pPr>
              <w:keepNext w:val="0"/>
              <w:keepLines w:val="0"/>
              <w:widowControl/>
              <w:kinsoku/>
              <w:wordWrap/>
              <w:overflowPunct/>
              <w:topLinePunct w:val="0"/>
              <w:bidi w:val="0"/>
              <w:spacing w:line="560" w:lineRule="exact"/>
              <w:ind w:firstLine="420" w:firstLineChars="200"/>
              <w:jc w:val="left"/>
              <w:textAlignment w:val="auto"/>
              <w:rPr>
                <w:rFonts w:ascii="宋体" w:hAnsi="宋体" w:eastAsia="宋体" w:cs="Times New Roman"/>
                <w:color w:val="auto"/>
                <w:kern w:val="0"/>
                <w:sz w:val="21"/>
                <w:szCs w:val="21"/>
                <w:highlight w:val="none"/>
              </w:rPr>
            </w:pPr>
          </w:p>
        </w:tc>
      </w:tr>
      <w:tr w14:paraId="0D08D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706" w:type="dxa"/>
            <w:noWrap w:val="0"/>
            <w:vAlign w:val="center"/>
          </w:tcPr>
          <w:p w14:paraId="35670D81">
            <w:pPr>
              <w:keepNext w:val="0"/>
              <w:keepLines w:val="0"/>
              <w:widowControl/>
              <w:kinsoku/>
              <w:wordWrap/>
              <w:overflowPunct/>
              <w:topLinePunct w:val="0"/>
              <w:bidi w:val="0"/>
              <w:spacing w:line="560" w:lineRule="exact"/>
              <w:ind w:firstLine="420" w:firstLineChars="200"/>
              <w:jc w:val="left"/>
              <w:textAlignment w:val="auto"/>
              <w:rPr>
                <w:rFonts w:ascii="宋体" w:hAnsi="宋体" w:eastAsia="宋体" w:cs="Times New Roman"/>
                <w:color w:val="auto"/>
                <w:kern w:val="0"/>
                <w:sz w:val="21"/>
                <w:szCs w:val="21"/>
                <w:highlight w:val="none"/>
              </w:rPr>
            </w:pPr>
          </w:p>
        </w:tc>
        <w:tc>
          <w:tcPr>
            <w:tcW w:w="1218" w:type="dxa"/>
            <w:noWrap w:val="0"/>
            <w:vAlign w:val="center"/>
          </w:tcPr>
          <w:p w14:paraId="37EA887B">
            <w:pPr>
              <w:keepNext w:val="0"/>
              <w:keepLines w:val="0"/>
              <w:widowControl/>
              <w:kinsoku/>
              <w:wordWrap/>
              <w:overflowPunct/>
              <w:topLinePunct w:val="0"/>
              <w:bidi w:val="0"/>
              <w:spacing w:line="560" w:lineRule="exact"/>
              <w:ind w:firstLine="420" w:firstLineChars="200"/>
              <w:jc w:val="left"/>
              <w:textAlignment w:val="auto"/>
              <w:rPr>
                <w:rFonts w:ascii="宋体" w:hAnsi="宋体" w:eastAsia="宋体" w:cs="Times New Roman"/>
                <w:color w:val="auto"/>
                <w:kern w:val="0"/>
                <w:sz w:val="21"/>
                <w:szCs w:val="21"/>
                <w:highlight w:val="none"/>
              </w:rPr>
            </w:pPr>
          </w:p>
        </w:tc>
        <w:tc>
          <w:tcPr>
            <w:tcW w:w="1654" w:type="dxa"/>
            <w:noWrap w:val="0"/>
            <w:vAlign w:val="center"/>
          </w:tcPr>
          <w:p w14:paraId="3098305F">
            <w:pPr>
              <w:keepNext w:val="0"/>
              <w:keepLines w:val="0"/>
              <w:widowControl/>
              <w:kinsoku/>
              <w:wordWrap/>
              <w:overflowPunct/>
              <w:topLinePunct w:val="0"/>
              <w:bidi w:val="0"/>
              <w:spacing w:line="560" w:lineRule="exact"/>
              <w:ind w:firstLine="420" w:firstLineChars="200"/>
              <w:jc w:val="left"/>
              <w:textAlignment w:val="auto"/>
              <w:rPr>
                <w:rFonts w:ascii="宋体" w:hAnsi="宋体" w:eastAsia="宋体" w:cs="Times New Roman"/>
                <w:color w:val="auto"/>
                <w:kern w:val="0"/>
                <w:sz w:val="21"/>
                <w:szCs w:val="21"/>
                <w:highlight w:val="none"/>
              </w:rPr>
            </w:pPr>
          </w:p>
        </w:tc>
        <w:tc>
          <w:tcPr>
            <w:tcW w:w="1701" w:type="dxa"/>
            <w:noWrap w:val="0"/>
            <w:vAlign w:val="center"/>
          </w:tcPr>
          <w:p w14:paraId="7D082DB7">
            <w:pPr>
              <w:keepNext w:val="0"/>
              <w:keepLines w:val="0"/>
              <w:widowControl/>
              <w:kinsoku/>
              <w:wordWrap/>
              <w:overflowPunct/>
              <w:topLinePunct w:val="0"/>
              <w:bidi w:val="0"/>
              <w:spacing w:line="560" w:lineRule="exact"/>
              <w:ind w:firstLine="420" w:firstLineChars="200"/>
              <w:jc w:val="left"/>
              <w:textAlignment w:val="auto"/>
              <w:rPr>
                <w:rFonts w:ascii="宋体" w:hAnsi="宋体" w:eastAsia="宋体" w:cs="Times New Roman"/>
                <w:color w:val="auto"/>
                <w:kern w:val="0"/>
                <w:sz w:val="21"/>
                <w:szCs w:val="21"/>
                <w:highlight w:val="none"/>
              </w:rPr>
            </w:pPr>
          </w:p>
        </w:tc>
        <w:tc>
          <w:tcPr>
            <w:tcW w:w="2788" w:type="dxa"/>
            <w:noWrap w:val="0"/>
            <w:vAlign w:val="center"/>
          </w:tcPr>
          <w:p w14:paraId="10B77302">
            <w:pPr>
              <w:keepNext w:val="0"/>
              <w:keepLines w:val="0"/>
              <w:widowControl/>
              <w:kinsoku/>
              <w:wordWrap/>
              <w:overflowPunct/>
              <w:topLinePunct w:val="0"/>
              <w:bidi w:val="0"/>
              <w:spacing w:line="560" w:lineRule="exact"/>
              <w:ind w:firstLine="420" w:firstLineChars="200"/>
              <w:jc w:val="left"/>
              <w:textAlignment w:val="auto"/>
              <w:rPr>
                <w:rFonts w:ascii="宋体" w:hAnsi="宋体" w:eastAsia="宋体" w:cs="Times New Roman"/>
                <w:color w:val="auto"/>
                <w:kern w:val="0"/>
                <w:sz w:val="21"/>
                <w:szCs w:val="21"/>
                <w:highlight w:val="none"/>
              </w:rPr>
            </w:pPr>
          </w:p>
        </w:tc>
        <w:tc>
          <w:tcPr>
            <w:tcW w:w="1612" w:type="dxa"/>
            <w:noWrap w:val="0"/>
            <w:vAlign w:val="center"/>
          </w:tcPr>
          <w:p w14:paraId="2F82FFD1">
            <w:pPr>
              <w:keepNext w:val="0"/>
              <w:keepLines w:val="0"/>
              <w:widowControl/>
              <w:kinsoku/>
              <w:wordWrap/>
              <w:overflowPunct/>
              <w:topLinePunct w:val="0"/>
              <w:bidi w:val="0"/>
              <w:spacing w:line="560" w:lineRule="exact"/>
              <w:ind w:firstLine="420" w:firstLineChars="200"/>
              <w:jc w:val="left"/>
              <w:textAlignment w:val="auto"/>
              <w:rPr>
                <w:rFonts w:ascii="宋体" w:hAnsi="宋体" w:eastAsia="宋体" w:cs="Times New Roman"/>
                <w:color w:val="auto"/>
                <w:kern w:val="0"/>
                <w:sz w:val="21"/>
                <w:szCs w:val="21"/>
                <w:highlight w:val="none"/>
              </w:rPr>
            </w:pPr>
          </w:p>
        </w:tc>
      </w:tr>
    </w:tbl>
    <w:p w14:paraId="4A9EC0F6">
      <w:pPr>
        <w:keepNext w:val="0"/>
        <w:keepLines w:val="0"/>
        <w:kinsoku/>
        <w:wordWrap/>
        <w:overflowPunct/>
        <w:topLinePunct w:val="0"/>
        <w:bidi w:val="0"/>
        <w:spacing w:line="560" w:lineRule="exact"/>
        <w:ind w:firstLine="420" w:firstLineChars="200"/>
        <w:jc w:val="left"/>
        <w:textAlignment w:val="auto"/>
        <w:rPr>
          <w:rFonts w:ascii="宋体" w:hAnsi="宋体" w:eastAsia="宋体" w:cs="Times New Roman"/>
          <w:color w:val="auto"/>
          <w:sz w:val="21"/>
          <w:szCs w:val="21"/>
          <w:highlight w:val="none"/>
        </w:rPr>
      </w:pPr>
    </w:p>
    <w:p w14:paraId="396B8FE6">
      <w:pPr>
        <w:keepNext w:val="0"/>
        <w:keepLines w:val="0"/>
        <w:kinsoku/>
        <w:wordWrap/>
        <w:overflowPunct/>
        <w:topLinePunct w:val="0"/>
        <w:bidi w:val="0"/>
        <w:spacing w:line="560" w:lineRule="exact"/>
        <w:ind w:firstLine="420" w:firstLineChars="200"/>
        <w:jc w:val="left"/>
        <w:textAlignment w:val="auto"/>
        <w:rPr>
          <w:rFonts w:ascii="宋体" w:hAnsi="宋体" w:eastAsia="宋体" w:cs="Times New Roman"/>
          <w:color w:val="auto"/>
          <w:sz w:val="21"/>
          <w:szCs w:val="21"/>
          <w:highlight w:val="none"/>
        </w:rPr>
      </w:pPr>
      <w:r>
        <w:rPr>
          <w:rFonts w:ascii="宋体" w:hAnsi="宋体" w:eastAsia="宋体" w:cs="Times New Roman"/>
          <w:color w:val="auto"/>
          <w:sz w:val="21"/>
          <w:szCs w:val="21"/>
          <w:highlight w:val="none"/>
        </w:rPr>
        <w:t xml:space="preserve">        </w:t>
      </w:r>
    </w:p>
    <w:p w14:paraId="3815D4F8">
      <w:pPr>
        <w:keepNext w:val="0"/>
        <w:keepLines w:val="0"/>
        <w:kinsoku/>
        <w:wordWrap/>
        <w:overflowPunct/>
        <w:topLinePunct w:val="0"/>
        <w:bidi w:val="0"/>
        <w:spacing w:line="560" w:lineRule="exact"/>
        <w:ind w:firstLine="420" w:firstLineChars="200"/>
        <w:jc w:val="left"/>
        <w:textAlignment w:val="auto"/>
        <w:rPr>
          <w:rFonts w:ascii="宋体" w:hAnsi="宋体" w:eastAsia="宋体" w:cs="Times New Roman"/>
          <w:color w:val="auto"/>
          <w:sz w:val="21"/>
          <w:szCs w:val="21"/>
          <w:highlight w:val="none"/>
        </w:rPr>
      </w:pPr>
    </w:p>
    <w:p w14:paraId="194BC7D9">
      <w:pPr>
        <w:rPr>
          <w:rFonts w:hint="eastAsia" w:ascii="仿宋_GB2312" w:hAnsi="仿宋_GB2312" w:cs="仿宋_GB2312"/>
          <w:color w:val="auto"/>
          <w:sz w:val="32"/>
          <w:szCs w:val="32"/>
          <w:highlight w:val="none"/>
          <w:lang w:val="en-US" w:eastAsia="zh-CN"/>
        </w:rPr>
      </w:pPr>
      <w:r>
        <w:rPr>
          <w:rFonts w:hint="eastAsia" w:ascii="仿宋_GB2312" w:hAnsi="仿宋_GB2312" w:cs="仿宋_GB2312"/>
          <w:color w:val="auto"/>
          <w:sz w:val="32"/>
          <w:szCs w:val="32"/>
          <w:highlight w:val="none"/>
          <w:lang w:val="en-US" w:eastAsia="zh-CN"/>
        </w:rPr>
        <w:br w:type="page"/>
      </w:r>
    </w:p>
    <w:p w14:paraId="33C27BF3">
      <w:pPr>
        <w:keepNext w:val="0"/>
        <w:keepLines w:val="0"/>
        <w:kinsoku/>
        <w:wordWrap/>
        <w:overflowPunct/>
        <w:topLinePunct w:val="0"/>
        <w:bidi w:val="0"/>
        <w:spacing w:line="560" w:lineRule="exact"/>
        <w:ind w:firstLine="640" w:firstLineChars="200"/>
        <w:jc w:val="right"/>
        <w:textAlignment w:val="auto"/>
        <w:rPr>
          <w:rFonts w:hint="eastAsia" w:ascii="仿宋_GB2312" w:hAnsi="仿宋_GB2312" w:cs="仿宋_GB2312"/>
          <w:color w:val="auto"/>
          <w:sz w:val="32"/>
          <w:szCs w:val="32"/>
          <w:highlight w:val="none"/>
          <w:lang w:val="en-US" w:eastAsia="zh-CN"/>
        </w:rPr>
      </w:pPr>
      <w:r>
        <w:rPr>
          <w:rFonts w:hint="eastAsia" w:ascii="仿宋_GB2312" w:hAnsi="仿宋_GB2312" w:cs="仿宋_GB2312"/>
          <w:color w:val="auto"/>
          <w:sz w:val="32"/>
          <w:szCs w:val="32"/>
          <w:highlight w:val="none"/>
          <w:lang w:val="en-US" w:eastAsia="zh-CN"/>
        </w:rPr>
        <w:t xml:space="preserve"> </w:t>
      </w:r>
    </w:p>
    <w:p w14:paraId="7F945F20">
      <w:pPr>
        <w:keepNext w:val="0"/>
        <w:keepLines w:val="0"/>
        <w:kinsoku/>
        <w:wordWrap/>
        <w:overflowPunct/>
        <w:topLinePunct w:val="0"/>
        <w:bidi w:val="0"/>
        <w:spacing w:line="560" w:lineRule="exact"/>
        <w:ind w:firstLine="640" w:firstLineChars="200"/>
        <w:jc w:val="right"/>
        <w:textAlignment w:val="auto"/>
        <w:rPr>
          <w:rFonts w:hint="eastAsia" w:ascii="仿宋_GB2312" w:hAnsi="仿宋_GB2312" w:cs="仿宋_GB2312"/>
          <w:color w:val="auto"/>
          <w:sz w:val="32"/>
          <w:szCs w:val="32"/>
          <w:highlight w:val="none"/>
          <w:lang w:val="en-US" w:eastAsia="zh-CN"/>
        </w:rPr>
      </w:pPr>
    </w:p>
    <w:p w14:paraId="43A42038">
      <w:pPr>
        <w:keepNext w:val="0"/>
        <w:keepLines w:val="0"/>
        <w:kinsoku/>
        <w:wordWrap/>
        <w:overflowPunct/>
        <w:topLinePunct w:val="0"/>
        <w:bidi w:val="0"/>
        <w:spacing w:line="560" w:lineRule="exact"/>
        <w:ind w:firstLine="640" w:firstLineChars="200"/>
        <w:jc w:val="right"/>
        <w:textAlignment w:val="auto"/>
        <w:rPr>
          <w:rFonts w:hint="eastAsia" w:ascii="仿宋_GB2312" w:hAnsi="仿宋_GB2312" w:cs="仿宋_GB2312"/>
          <w:color w:val="auto"/>
          <w:sz w:val="32"/>
          <w:szCs w:val="32"/>
          <w:highlight w:val="none"/>
          <w:lang w:val="en-US" w:eastAsia="zh-CN"/>
        </w:rPr>
      </w:pPr>
    </w:p>
    <w:p w14:paraId="2A56D665">
      <w:pPr>
        <w:keepNext w:val="0"/>
        <w:keepLines w:val="0"/>
        <w:kinsoku/>
        <w:wordWrap/>
        <w:overflowPunct/>
        <w:topLinePunct w:val="0"/>
        <w:bidi w:val="0"/>
        <w:spacing w:line="560" w:lineRule="exact"/>
        <w:ind w:firstLine="640" w:firstLineChars="200"/>
        <w:jc w:val="right"/>
        <w:textAlignment w:val="auto"/>
        <w:rPr>
          <w:rFonts w:hint="eastAsia" w:ascii="仿宋_GB2312" w:hAnsi="仿宋_GB2312" w:cs="仿宋_GB2312"/>
          <w:color w:val="auto"/>
          <w:sz w:val="32"/>
          <w:szCs w:val="32"/>
          <w:highlight w:val="none"/>
          <w:lang w:val="en-US" w:eastAsia="zh-CN"/>
        </w:rPr>
      </w:pPr>
    </w:p>
    <w:p w14:paraId="4E2C3B84">
      <w:pPr>
        <w:keepNext w:val="0"/>
        <w:keepLines w:val="0"/>
        <w:kinsoku/>
        <w:wordWrap/>
        <w:overflowPunct/>
        <w:topLinePunct w:val="0"/>
        <w:bidi w:val="0"/>
        <w:spacing w:line="560" w:lineRule="exact"/>
        <w:ind w:firstLine="640" w:firstLineChars="200"/>
        <w:jc w:val="right"/>
        <w:textAlignment w:val="auto"/>
        <w:rPr>
          <w:rFonts w:hint="eastAsia" w:ascii="仿宋_GB2312" w:hAnsi="仿宋_GB2312" w:cs="仿宋_GB2312"/>
          <w:color w:val="auto"/>
          <w:sz w:val="32"/>
          <w:szCs w:val="32"/>
          <w:highlight w:val="none"/>
          <w:lang w:val="en-US" w:eastAsia="zh-CN"/>
        </w:rPr>
      </w:pPr>
    </w:p>
    <w:p w14:paraId="54EF22FE">
      <w:pPr>
        <w:keepNext w:val="0"/>
        <w:keepLines w:val="0"/>
        <w:kinsoku/>
        <w:wordWrap/>
        <w:overflowPunct/>
        <w:topLinePunct w:val="0"/>
        <w:bidi w:val="0"/>
        <w:spacing w:line="560" w:lineRule="exact"/>
        <w:ind w:firstLine="640" w:firstLineChars="200"/>
        <w:jc w:val="right"/>
        <w:textAlignment w:val="auto"/>
        <w:rPr>
          <w:rFonts w:hint="eastAsia" w:ascii="仿宋_GB2312" w:hAnsi="仿宋_GB2312" w:cs="仿宋_GB2312"/>
          <w:color w:val="auto"/>
          <w:sz w:val="32"/>
          <w:szCs w:val="32"/>
          <w:highlight w:val="none"/>
          <w:lang w:val="en-US" w:eastAsia="zh-CN"/>
        </w:rPr>
      </w:pPr>
    </w:p>
    <w:p w14:paraId="7A2EB33B">
      <w:pPr>
        <w:keepNext w:val="0"/>
        <w:keepLines w:val="0"/>
        <w:kinsoku/>
        <w:wordWrap/>
        <w:overflowPunct/>
        <w:topLinePunct w:val="0"/>
        <w:bidi w:val="0"/>
        <w:spacing w:line="560" w:lineRule="exact"/>
        <w:ind w:firstLine="640" w:firstLineChars="200"/>
        <w:jc w:val="right"/>
        <w:textAlignment w:val="auto"/>
        <w:rPr>
          <w:rFonts w:hint="eastAsia" w:ascii="仿宋_GB2312" w:hAnsi="仿宋_GB2312" w:cs="仿宋_GB2312"/>
          <w:color w:val="auto"/>
          <w:sz w:val="32"/>
          <w:szCs w:val="32"/>
          <w:highlight w:val="none"/>
          <w:lang w:val="en-US" w:eastAsia="zh-CN"/>
        </w:rPr>
      </w:pPr>
    </w:p>
    <w:p w14:paraId="6BB30996">
      <w:pPr>
        <w:keepNext w:val="0"/>
        <w:keepLines w:val="0"/>
        <w:kinsoku/>
        <w:wordWrap/>
        <w:overflowPunct/>
        <w:topLinePunct w:val="0"/>
        <w:bidi w:val="0"/>
        <w:spacing w:line="560" w:lineRule="exact"/>
        <w:ind w:firstLine="640" w:firstLineChars="200"/>
        <w:jc w:val="right"/>
        <w:textAlignment w:val="auto"/>
        <w:rPr>
          <w:rFonts w:hint="eastAsia" w:ascii="仿宋_GB2312" w:hAnsi="仿宋_GB2312" w:cs="仿宋_GB2312"/>
          <w:color w:val="auto"/>
          <w:sz w:val="32"/>
          <w:szCs w:val="32"/>
          <w:highlight w:val="none"/>
          <w:lang w:val="en-US" w:eastAsia="zh-CN"/>
        </w:rPr>
      </w:pPr>
    </w:p>
    <w:p w14:paraId="564F57EC">
      <w:pPr>
        <w:keepNext w:val="0"/>
        <w:keepLines w:val="0"/>
        <w:kinsoku/>
        <w:wordWrap/>
        <w:overflowPunct/>
        <w:topLinePunct w:val="0"/>
        <w:bidi w:val="0"/>
        <w:spacing w:line="560" w:lineRule="exact"/>
        <w:ind w:firstLine="640" w:firstLineChars="200"/>
        <w:jc w:val="right"/>
        <w:textAlignment w:val="auto"/>
        <w:rPr>
          <w:rFonts w:hint="eastAsia" w:ascii="仿宋_GB2312" w:hAnsi="仿宋_GB2312" w:eastAsia="仿宋_GB2312" w:cs="仿宋_GB2312"/>
          <w:color w:val="auto"/>
          <w:sz w:val="32"/>
          <w:szCs w:val="32"/>
          <w:highlight w:val="none"/>
          <w:u w:val="single"/>
        </w:rPr>
      </w:pPr>
      <w:r>
        <w:rPr>
          <w:rFonts w:hint="eastAsia" w:ascii="仿宋_GB2312" w:hAnsi="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 xml:space="preserve">方：（加盖公章） </w:t>
      </w:r>
    </w:p>
    <w:p w14:paraId="4A317DD9">
      <w:pPr>
        <w:keepNext w:val="0"/>
        <w:keepLines w:val="0"/>
        <w:kinsoku/>
        <w:wordWrap/>
        <w:overflowPunct/>
        <w:topLinePunct w:val="0"/>
        <w:bidi w:val="0"/>
        <w:spacing w:line="560" w:lineRule="exact"/>
        <w:ind w:firstLine="640" w:firstLineChars="200"/>
        <w:jc w:val="right"/>
        <w:textAlignment w:val="auto"/>
        <w:rPr>
          <w:rFonts w:hint="eastAsia" w:ascii="仿宋_GB2312" w:hAnsi="仿宋_GB2312" w:eastAsia="仿宋_GB2312" w:cs="仿宋_GB2312"/>
          <w:color w:val="auto"/>
          <w:sz w:val="32"/>
          <w:szCs w:val="32"/>
          <w:highlight w:val="none"/>
        </w:rPr>
      </w:pPr>
    </w:p>
    <w:p w14:paraId="5D95D994">
      <w:pPr>
        <w:keepNext w:val="0"/>
        <w:keepLines w:val="0"/>
        <w:kinsoku/>
        <w:wordWrap/>
        <w:overflowPunct/>
        <w:topLinePunct w:val="0"/>
        <w:bidi w:val="0"/>
        <w:spacing w:line="560" w:lineRule="exact"/>
        <w:ind w:right="210" w:firstLine="640" w:firstLineChars="200"/>
        <w:jc w:val="righ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授权期限：20</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日至20</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日</w:t>
      </w:r>
    </w:p>
    <w:p w14:paraId="69E640A7">
      <w:pPr>
        <w:keepNext w:val="0"/>
        <w:keepLines w:val="0"/>
        <w:kinsoku/>
        <w:wordWrap/>
        <w:overflowPunct/>
        <w:topLinePunct w:val="0"/>
        <w:bidi w:val="0"/>
        <w:spacing w:line="560" w:lineRule="exact"/>
        <w:ind w:firstLine="420" w:firstLineChars="200"/>
        <w:jc w:val="right"/>
        <w:textAlignment w:val="auto"/>
        <w:rPr>
          <w:rFonts w:ascii="宋体" w:hAnsi="宋体" w:eastAsia="宋体" w:cs="Times New Roman"/>
          <w:color w:val="auto"/>
          <w:sz w:val="21"/>
          <w:szCs w:val="21"/>
          <w:highlight w:val="none"/>
        </w:rPr>
      </w:pPr>
    </w:p>
    <w:p w14:paraId="1433530B">
      <w:pPr>
        <w:keepNext w:val="0"/>
        <w:keepLines w:val="0"/>
        <w:kinsoku/>
        <w:wordWrap/>
        <w:overflowPunct/>
        <w:topLinePunct w:val="0"/>
        <w:bidi w:val="0"/>
        <w:spacing w:line="560" w:lineRule="exact"/>
        <w:ind w:firstLine="420" w:firstLineChars="200"/>
        <w:jc w:val="right"/>
        <w:textAlignment w:val="auto"/>
        <w:rPr>
          <w:rFonts w:ascii="宋体" w:hAnsi="宋体" w:eastAsia="宋体" w:cs="Times New Roman"/>
          <w:color w:val="auto"/>
          <w:sz w:val="21"/>
          <w:szCs w:val="21"/>
          <w:highlight w:val="none"/>
        </w:rPr>
      </w:pPr>
    </w:p>
    <w:p w14:paraId="189B600B">
      <w:pPr>
        <w:keepNext w:val="0"/>
        <w:keepLines w:val="0"/>
        <w:kinsoku/>
        <w:wordWrap/>
        <w:overflowPunct/>
        <w:topLinePunct w:val="0"/>
        <w:bidi w:val="0"/>
        <w:spacing w:line="560" w:lineRule="exact"/>
        <w:ind w:firstLine="420" w:firstLineChars="200"/>
        <w:jc w:val="right"/>
        <w:textAlignment w:val="auto"/>
        <w:rPr>
          <w:rFonts w:ascii="宋体" w:hAnsi="宋体" w:eastAsia="宋体" w:cs="Times New Roman"/>
          <w:color w:val="auto"/>
          <w:sz w:val="21"/>
          <w:szCs w:val="21"/>
          <w:highlight w:val="none"/>
        </w:rPr>
      </w:pPr>
    </w:p>
    <w:p w14:paraId="5DE651EA">
      <w:pPr>
        <w:keepNext w:val="0"/>
        <w:keepLines w:val="0"/>
        <w:kinsoku/>
        <w:wordWrap/>
        <w:overflowPunct/>
        <w:topLinePunct w:val="0"/>
        <w:bidi w:val="0"/>
        <w:spacing w:line="560" w:lineRule="exact"/>
        <w:ind w:firstLine="420" w:firstLineChars="200"/>
        <w:jc w:val="right"/>
        <w:textAlignment w:val="auto"/>
        <w:rPr>
          <w:rFonts w:ascii="宋体" w:hAnsi="宋体" w:eastAsia="宋体" w:cs="Times New Roman"/>
          <w:color w:val="auto"/>
          <w:sz w:val="21"/>
          <w:szCs w:val="21"/>
          <w:highlight w:val="none"/>
        </w:rPr>
      </w:pPr>
    </w:p>
    <w:p w14:paraId="6E9DEAAB">
      <w:pPr>
        <w:keepNext w:val="0"/>
        <w:keepLines w:val="0"/>
        <w:kinsoku/>
        <w:wordWrap/>
        <w:overflowPunct/>
        <w:topLinePunct w:val="0"/>
        <w:bidi w:val="0"/>
        <w:spacing w:line="560" w:lineRule="exact"/>
        <w:ind w:firstLine="420" w:firstLineChars="200"/>
        <w:jc w:val="right"/>
        <w:textAlignment w:val="auto"/>
        <w:rPr>
          <w:rFonts w:ascii="宋体" w:hAnsi="宋体" w:eastAsia="宋体" w:cs="Times New Roman"/>
          <w:color w:val="auto"/>
          <w:sz w:val="21"/>
          <w:szCs w:val="21"/>
          <w:highlight w:val="none"/>
        </w:rPr>
      </w:pPr>
      <w:r>
        <w:rPr>
          <w:rFonts w:ascii="宋体" w:hAnsi="宋体" w:eastAsia="宋体" w:cs="Times New Roman"/>
          <w:color w:val="auto"/>
          <w:sz w:val="21"/>
          <w:szCs w:val="21"/>
          <w:highlight w:val="none"/>
        </w:rPr>
        <w:t xml:space="preserve">                                     </w:t>
      </w:r>
    </w:p>
    <w:p w14:paraId="23301ABA">
      <w:pPr>
        <w:keepNext w:val="0"/>
        <w:keepLines w:val="0"/>
        <w:kinsoku/>
        <w:wordWrap/>
        <w:overflowPunct/>
        <w:topLinePunct w:val="0"/>
        <w:bidi w:val="0"/>
        <w:spacing w:line="560" w:lineRule="exact"/>
        <w:ind w:firstLine="420" w:firstLineChars="200"/>
        <w:jc w:val="right"/>
        <w:textAlignment w:val="auto"/>
        <w:rPr>
          <w:rFonts w:hint="eastAsia" w:ascii="仿宋_GB2312" w:hAnsi="仿宋_GB2312" w:eastAsia="仿宋_GB2312" w:cs="仿宋_GB2312"/>
          <w:color w:val="auto"/>
          <w:sz w:val="32"/>
          <w:szCs w:val="32"/>
          <w:highlight w:val="none"/>
          <w:u w:val="single"/>
        </w:rPr>
      </w:pPr>
      <w:r>
        <w:rPr>
          <w:rFonts w:ascii="宋体" w:hAnsi="宋体" w:eastAsia="宋体" w:cs="Times New Roman"/>
          <w:color w:val="auto"/>
          <w:sz w:val="21"/>
          <w:szCs w:val="21"/>
          <w:highlight w:val="none"/>
        </w:rPr>
        <w:t xml:space="preserve">      </w:t>
      </w:r>
      <w:r>
        <w:rPr>
          <w:rFonts w:hint="eastAsia" w:ascii="宋体" w:hAnsi="宋体" w:eastAsia="宋体" w:cs="Times New Roman"/>
          <w:color w:val="auto"/>
          <w:sz w:val="21"/>
          <w:szCs w:val="21"/>
          <w:highlight w:val="none"/>
        </w:rPr>
        <w:t xml:space="preserve">       </w:t>
      </w:r>
      <w:r>
        <w:rPr>
          <w:rFonts w:ascii="宋体" w:hAnsi="宋体" w:eastAsia="宋体" w:cs="Times New Roman"/>
          <w:color w:val="auto"/>
          <w:sz w:val="21"/>
          <w:szCs w:val="21"/>
          <w:highlight w:val="none"/>
        </w:rPr>
        <w:t xml:space="preserve">         </w:t>
      </w:r>
      <w:r>
        <w:rPr>
          <w:rFonts w:hint="eastAsia" w:ascii="仿宋_GB2312" w:hAnsi="仿宋_GB2312" w:eastAsia="仿宋_GB2312" w:cs="仿宋_GB2312"/>
          <w:color w:val="auto"/>
          <w:sz w:val="32"/>
          <w:szCs w:val="32"/>
          <w:highlight w:val="none"/>
        </w:rPr>
        <w:t xml:space="preserve">  乙方：（加盖公章） </w:t>
      </w:r>
    </w:p>
    <w:p w14:paraId="4DDBD344">
      <w:pPr>
        <w:keepNext w:val="0"/>
        <w:keepLines w:val="0"/>
        <w:kinsoku/>
        <w:wordWrap/>
        <w:overflowPunct/>
        <w:topLinePunct w:val="0"/>
        <w:bidi w:val="0"/>
        <w:spacing w:line="560" w:lineRule="exact"/>
        <w:ind w:firstLine="640" w:firstLineChars="200"/>
        <w:jc w:val="right"/>
        <w:textAlignment w:val="auto"/>
        <w:rPr>
          <w:rFonts w:hint="eastAsia" w:ascii="仿宋_GB2312" w:hAnsi="仿宋_GB2312" w:eastAsia="仿宋_GB2312" w:cs="仿宋_GB2312"/>
          <w:color w:val="auto"/>
          <w:sz w:val="32"/>
          <w:szCs w:val="32"/>
          <w:highlight w:val="none"/>
        </w:rPr>
      </w:pPr>
    </w:p>
    <w:p w14:paraId="4F09F425">
      <w:pPr>
        <w:keepNext w:val="0"/>
        <w:keepLines w:val="0"/>
        <w:kinsoku/>
        <w:wordWrap/>
        <w:overflowPunct/>
        <w:topLinePunct w:val="0"/>
        <w:bidi w:val="0"/>
        <w:spacing w:line="560" w:lineRule="exact"/>
        <w:ind w:right="210" w:firstLine="640" w:firstLineChars="200"/>
        <w:jc w:val="righ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授权期限：20</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日至20</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日</w:t>
      </w:r>
    </w:p>
    <w:p w14:paraId="18044315"/>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00"/>
      </w:pPr>
      <w:r>
        <w:separator/>
      </w:r>
    </w:p>
  </w:endnote>
  <w:endnote w:type="continuationSeparator" w:id="1">
    <w:p>
      <w:pPr>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00"/>
      </w:pPr>
      <w:r>
        <w:separator/>
      </w:r>
    </w:p>
  </w:footnote>
  <w:footnote w:type="continuationSeparator" w:id="1">
    <w:p>
      <w:pPr>
        <w:ind w:firstLine="60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4966B9"/>
    <w:multiLevelType w:val="singleLevel"/>
    <w:tmpl w:val="E84966B9"/>
    <w:lvl w:ilvl="0" w:tentative="0">
      <w:start w:val="8"/>
      <w:numFmt w:val="chineseCounting"/>
      <w:suff w:val="space"/>
      <w:lvlText w:val="第%1条"/>
      <w:lvlJc w:val="left"/>
      <w:rPr>
        <w:rFonts w:hint="eastAsia"/>
      </w:rPr>
    </w:lvl>
  </w:abstractNum>
  <w:abstractNum w:abstractNumId="1">
    <w:nsid w:val="7807C9CF"/>
    <w:multiLevelType w:val="singleLevel"/>
    <w:tmpl w:val="7807C9CF"/>
    <w:lvl w:ilvl="0" w:tentative="0">
      <w:start w:val="3"/>
      <w:numFmt w:val="decimal"/>
      <w:suff w:val="nothing"/>
      <w:lvlText w:val="%1、"/>
      <w:lvlJc w:val="left"/>
      <w:pPr>
        <w:ind w:left="-40"/>
      </w:pPr>
    </w:lvl>
  </w:abstractNum>
  <w:abstractNum w:abstractNumId="2">
    <w:nsid w:val="7E545541"/>
    <w:multiLevelType w:val="singleLevel"/>
    <w:tmpl w:val="7E545541"/>
    <w:lvl w:ilvl="0" w:tentative="0">
      <w:start w:val="6"/>
      <w:numFmt w:val="chineseCounting"/>
      <w:suff w:val="space"/>
      <w:lvlText w:val="第%1条"/>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C382F"/>
    <w:rsid w:val="057E2D07"/>
    <w:rsid w:val="0D1E4C12"/>
    <w:rsid w:val="28153FC9"/>
    <w:rsid w:val="36C46A3E"/>
    <w:rsid w:val="50912F07"/>
    <w:rsid w:val="63255906"/>
    <w:rsid w:val="655F0D62"/>
    <w:rsid w:val="66E641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723" w:firstLineChars="200"/>
      <w:jc w:val="both"/>
    </w:pPr>
    <w:rPr>
      <w:rFonts w:ascii="Times New Roman" w:hAnsi="Times New Roman" w:eastAsia="仿宋_GB2312" w:cs="Times New Roman"/>
      <w:kern w:val="2"/>
      <w:sz w:val="30"/>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autoSpaceDE w:val="0"/>
      <w:autoSpaceDN w:val="0"/>
      <w:adjustRightInd w:val="0"/>
      <w:spacing w:line="315" w:lineRule="atLeast"/>
      <w:ind w:firstLine="420"/>
      <w:jc w:val="left"/>
    </w:pPr>
    <w:rPr>
      <w:rFonts w:ascii="宋体"/>
      <w:kern w:val="0"/>
      <w:sz w:val="24"/>
      <w:szCs w:val="20"/>
    </w:rPr>
  </w:style>
  <w:style w:type="paragraph" w:styleId="3">
    <w:name w:val="annotation text"/>
    <w:basedOn w:val="1"/>
    <w:qFormat/>
    <w:uiPriority w:val="0"/>
    <w:pPr>
      <w:jc w:val="left"/>
    </w:pPr>
  </w:style>
  <w:style w:type="table" w:styleId="5">
    <w:name w:val="Table Grid"/>
    <w:basedOn w:val="4"/>
    <w:qFormat/>
    <w:uiPriority w:val="59"/>
    <w:pPr>
      <w:widowControl w:val="0"/>
      <w:jc w:val="both"/>
    </w:pPr>
    <w:rPr>
      <w:rFonts w:ascii="Times New Roman" w:hAnsi="Times New Roman" w:eastAsia="宋体" w:cs="Times New Roman"/>
      <w:snapToGrid/>
      <w:color w:val="auto"/>
      <w:sz w:val="20"/>
      <w:szCs w:val="20"/>
      <w:lang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6389</Words>
  <Characters>6582</Characters>
  <Lines>0</Lines>
  <Paragraphs>0</Paragraphs>
  <TotalTime>2</TotalTime>
  <ScaleCrop>false</ScaleCrop>
  <LinksUpToDate>false</LinksUpToDate>
  <CharactersWithSpaces>7009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2024-11-18T07:21:00Z</dcterms:created>
  <dc:creator>zeng</dc:creator>
  <cp:lastModifiedBy>符淑妹</cp:lastModifiedBy>
  <dcterms:modified xsi:type="dcterms:W3CDTF">2026-08-26T02:11:18Z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079D04E406844B20B3B2ECF4F4967117_13</vt:lpwstr>
  </property>
  <property fmtid="{D5CDD505-2E9C-101B-9397-08002B2CF9AE}" pid="4" name="KSOTemplateDocerSaveRecord">
    <vt:lpwstr>eyJoZGlkIjoiYWFhYjE4MWFmOGQwMzBiMjRmYTI3Y2I3MzVhNDRkOTAiLCJ1c2VySWQiOiIxNjYwODEzMDcyIn0=</vt:lpwstr>
  </property>
</Properties>
</file>