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D0175">
      <w:pPr>
        <w:snapToGrid w:val="0"/>
        <w:spacing w:line="56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雷鸣镇应急保供蔬菜大棚基地48.77亩承包</w:t>
      </w:r>
      <w:r>
        <w:rPr>
          <w:rFonts w:hint="eastAsia" w:ascii="方正小标宋简体" w:hAnsi="方正小标宋简体" w:eastAsia="方正小标宋简体" w:cs="方正小标宋简体"/>
          <w:sz w:val="44"/>
          <w:szCs w:val="44"/>
        </w:rPr>
        <w:t>合同</w:t>
      </w:r>
    </w:p>
    <w:p w14:paraId="6E363E70">
      <w:pPr>
        <w:pStyle w:val="2"/>
        <w:rPr>
          <w:rFonts w:hint="eastAsia"/>
        </w:rPr>
      </w:pPr>
    </w:p>
    <w:p w14:paraId="33066507">
      <w:pPr>
        <w:keepNext w:val="0"/>
        <w:keepLines w:val="0"/>
        <w:pageBreakBefore w:val="0"/>
        <w:kinsoku/>
        <w:overflowPunct/>
        <w:topLinePunct w:val="0"/>
        <w:autoSpaceDE/>
        <w:autoSpaceDN/>
        <w:bidi w:val="0"/>
        <w:spacing w:line="520" w:lineRule="exact"/>
        <w:textAlignment w:val="auto"/>
        <w:rPr>
          <w:rFonts w:hint="default" w:ascii="仿宋_GB2312" w:hAnsi="仿宋_GB2312" w:eastAsia="仿宋_GB2312" w:cs="仿宋_GB2312"/>
          <w:b/>
          <w:sz w:val="28"/>
          <w:szCs w:val="28"/>
          <w:lang w:val="en-US"/>
        </w:rPr>
      </w:pPr>
      <w:r>
        <w:rPr>
          <w:rFonts w:hint="eastAsia" w:ascii="仿宋_GB2312" w:hAnsi="仿宋_GB2312" w:eastAsia="仿宋_GB2312" w:cs="仿宋_GB2312"/>
          <w:b/>
          <w:sz w:val="28"/>
          <w:szCs w:val="28"/>
        </w:rPr>
        <w:t>甲方（发包方）：</w:t>
      </w:r>
      <w:r>
        <w:rPr>
          <w:rFonts w:hint="eastAsia" w:hAnsi="仿宋_GB2312" w:cs="仿宋_GB2312"/>
          <w:sz w:val="28"/>
          <w:szCs w:val="28"/>
          <w:u w:val="single"/>
          <w:lang w:val="en-US" w:eastAsia="zh-CN"/>
        </w:rPr>
        <w:t xml:space="preserve">                                               </w:t>
      </w:r>
    </w:p>
    <w:p w14:paraId="688AB559">
      <w:pPr>
        <w:keepNext w:val="0"/>
        <w:keepLines w:val="0"/>
        <w:pageBreakBefore w:val="0"/>
        <w:kinsoku/>
        <w:overflowPunct/>
        <w:topLinePunct w:val="0"/>
        <w:autoSpaceDE/>
        <w:autoSpaceDN/>
        <w:bidi w:val="0"/>
        <w:spacing w:line="520" w:lineRule="exact"/>
        <w:ind w:firstLine="552" w:firstLineChars="200"/>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rPr>
        <w:t>统一社会信用代码/身份证号：</w:t>
      </w:r>
      <w:r>
        <w:rPr>
          <w:rFonts w:hint="eastAsia" w:hAnsi="仿宋_GB2312" w:cs="仿宋_GB2312"/>
          <w:sz w:val="28"/>
          <w:szCs w:val="28"/>
          <w:u w:val="single"/>
          <w:lang w:val="en-US" w:eastAsia="zh-CN"/>
        </w:rPr>
        <w:t xml:space="preserve">                                </w:t>
      </w:r>
    </w:p>
    <w:p w14:paraId="5A58E278">
      <w:pPr>
        <w:keepNext w:val="0"/>
        <w:keepLines w:val="0"/>
        <w:pageBreakBefore w:val="0"/>
        <w:kinsoku/>
        <w:overflowPunct/>
        <w:topLinePunct w:val="0"/>
        <w:autoSpaceDE/>
        <w:autoSpaceDN/>
        <w:bidi w:val="0"/>
        <w:spacing w:line="520" w:lineRule="exact"/>
        <w:ind w:firstLine="552" w:firstLineChars="200"/>
        <w:textAlignment w:val="auto"/>
        <w:rPr>
          <w:rFonts w:hint="eastAsia" w:hAnsi="仿宋_GB2312" w:cs="仿宋_GB2312"/>
          <w:sz w:val="28"/>
          <w:szCs w:val="28"/>
          <w:u w:val="single"/>
          <w:lang w:val="en-US" w:eastAsia="zh-CN"/>
        </w:rPr>
      </w:pPr>
      <w:r>
        <w:rPr>
          <w:rFonts w:hint="eastAsia" w:ascii="仿宋_GB2312" w:hAnsi="仿宋_GB2312" w:eastAsia="仿宋_GB2312" w:cs="仿宋_GB2312"/>
          <w:sz w:val="28"/>
          <w:szCs w:val="28"/>
        </w:rPr>
        <w:t>联系地址：</w:t>
      </w:r>
      <w:r>
        <w:rPr>
          <w:rFonts w:hint="eastAsia" w:hAnsi="仿宋_GB2312" w:cs="仿宋_GB2312"/>
          <w:sz w:val="28"/>
          <w:szCs w:val="28"/>
          <w:u w:val="single"/>
          <w:lang w:val="en-US" w:eastAsia="zh-CN"/>
        </w:rPr>
        <w:t xml:space="preserve">                                                 </w:t>
      </w:r>
    </w:p>
    <w:p w14:paraId="358F505E">
      <w:pPr>
        <w:keepNext w:val="0"/>
        <w:keepLines w:val="0"/>
        <w:pageBreakBefore w:val="0"/>
        <w:kinsoku/>
        <w:overflowPunct/>
        <w:topLinePunct w:val="0"/>
        <w:autoSpaceDE/>
        <w:autoSpaceDN/>
        <w:bidi w:val="0"/>
        <w:spacing w:line="520" w:lineRule="exact"/>
        <w:ind w:firstLine="552" w:firstLineChars="200"/>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rPr>
        <w:t>联系人：</w:t>
      </w:r>
      <w:r>
        <w:rPr>
          <w:rFonts w:hint="eastAsia" w:hAnsi="仿宋_GB2312" w:cs="仿宋_GB2312"/>
          <w:sz w:val="28"/>
          <w:szCs w:val="28"/>
          <w:u w:val="single"/>
          <w:lang w:val="en-US" w:eastAsia="zh-CN"/>
        </w:rPr>
        <w:t xml:space="preserve">       </w:t>
      </w:r>
      <w:r>
        <w:rPr>
          <w:rFonts w:hint="eastAsia" w:ascii="仿宋_GB2312" w:hAnsi="仿宋_GB2312" w:eastAsia="仿宋_GB2312" w:cs="仿宋_GB2312"/>
          <w:sz w:val="28"/>
          <w:szCs w:val="28"/>
        </w:rPr>
        <w:t>；联系电话：</w:t>
      </w:r>
      <w:r>
        <w:rPr>
          <w:rFonts w:hint="eastAsia" w:hAnsi="仿宋_GB2312" w:cs="仿宋_GB2312"/>
          <w:sz w:val="28"/>
          <w:szCs w:val="28"/>
          <w:u w:val="single"/>
          <w:lang w:val="en-US" w:eastAsia="zh-CN"/>
        </w:rPr>
        <w:t xml:space="preserve">            </w:t>
      </w:r>
    </w:p>
    <w:p w14:paraId="6708F661">
      <w:pPr>
        <w:keepNext w:val="0"/>
        <w:keepLines w:val="0"/>
        <w:pageBreakBefore w:val="0"/>
        <w:kinsoku/>
        <w:overflowPunct/>
        <w:topLinePunct w:val="0"/>
        <w:autoSpaceDE/>
        <w:autoSpaceDN/>
        <w:bidi w:val="0"/>
        <w:spacing w:line="520" w:lineRule="exact"/>
        <w:textAlignment w:val="auto"/>
        <w:rPr>
          <w:rFonts w:hint="default" w:ascii="仿宋_GB2312" w:hAnsi="仿宋_GB2312" w:eastAsia="仿宋_GB2312" w:cs="仿宋_GB2312"/>
          <w:b/>
          <w:sz w:val="28"/>
          <w:szCs w:val="28"/>
          <w:lang w:val="en-US"/>
        </w:rPr>
      </w:pPr>
      <w:r>
        <w:rPr>
          <w:rFonts w:hint="eastAsia" w:ascii="仿宋_GB2312" w:hAnsi="仿宋_GB2312" w:eastAsia="仿宋_GB2312" w:cs="仿宋_GB2312"/>
          <w:b/>
          <w:sz w:val="28"/>
          <w:szCs w:val="28"/>
        </w:rPr>
        <w:t>乙方（承包方）：</w:t>
      </w:r>
      <w:r>
        <w:rPr>
          <w:rFonts w:hint="eastAsia" w:hAnsi="仿宋_GB2312" w:cs="仿宋_GB2312"/>
          <w:sz w:val="28"/>
          <w:szCs w:val="28"/>
          <w:u w:val="single"/>
          <w:lang w:val="en-US" w:eastAsia="zh-CN"/>
        </w:rPr>
        <w:t xml:space="preserve">                                               </w:t>
      </w:r>
    </w:p>
    <w:p w14:paraId="3900EFC9">
      <w:pPr>
        <w:keepNext w:val="0"/>
        <w:keepLines w:val="0"/>
        <w:pageBreakBefore w:val="0"/>
        <w:kinsoku/>
        <w:overflowPunct/>
        <w:topLinePunct w:val="0"/>
        <w:autoSpaceDE/>
        <w:autoSpaceDN/>
        <w:bidi w:val="0"/>
        <w:spacing w:line="520" w:lineRule="exact"/>
        <w:ind w:firstLine="552" w:firstLineChars="200"/>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rPr>
        <w:t>统一社会信用代码/身份证号：</w:t>
      </w:r>
      <w:r>
        <w:rPr>
          <w:rFonts w:hint="eastAsia" w:hAnsi="仿宋_GB2312" w:cs="仿宋_GB2312"/>
          <w:sz w:val="28"/>
          <w:szCs w:val="28"/>
          <w:u w:val="single"/>
          <w:lang w:val="en-US" w:eastAsia="zh-CN"/>
        </w:rPr>
        <w:t xml:space="preserve">                                </w:t>
      </w:r>
    </w:p>
    <w:p w14:paraId="0B98EB0D">
      <w:pPr>
        <w:keepNext w:val="0"/>
        <w:keepLines w:val="0"/>
        <w:pageBreakBefore w:val="0"/>
        <w:kinsoku/>
        <w:overflowPunct/>
        <w:topLinePunct w:val="0"/>
        <w:autoSpaceDE/>
        <w:autoSpaceDN/>
        <w:bidi w:val="0"/>
        <w:spacing w:line="520" w:lineRule="exact"/>
        <w:ind w:firstLine="552" w:firstLineChars="200"/>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rPr>
        <w:t>联系地址：</w:t>
      </w:r>
      <w:r>
        <w:rPr>
          <w:rFonts w:hint="eastAsia" w:hAnsi="仿宋_GB2312" w:cs="仿宋_GB2312"/>
          <w:sz w:val="28"/>
          <w:szCs w:val="28"/>
          <w:u w:val="single"/>
          <w:lang w:val="en-US" w:eastAsia="zh-CN"/>
        </w:rPr>
        <w:t xml:space="preserve">                                                 </w:t>
      </w:r>
    </w:p>
    <w:p w14:paraId="7A608F07">
      <w:pPr>
        <w:keepNext w:val="0"/>
        <w:keepLines w:val="0"/>
        <w:pageBreakBefore w:val="0"/>
        <w:kinsoku/>
        <w:overflowPunct/>
        <w:topLinePunct w:val="0"/>
        <w:autoSpaceDE/>
        <w:autoSpaceDN/>
        <w:bidi w:val="0"/>
        <w:spacing w:line="520" w:lineRule="exact"/>
        <w:ind w:firstLine="552" w:firstLineChars="200"/>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rPr>
        <w:t>联系人：</w:t>
      </w:r>
      <w:r>
        <w:rPr>
          <w:rFonts w:hint="eastAsia" w:hAnsi="仿宋_GB2312" w:cs="仿宋_GB2312"/>
          <w:sz w:val="28"/>
          <w:szCs w:val="28"/>
          <w:u w:val="single"/>
          <w:lang w:val="en-US" w:eastAsia="zh-CN"/>
        </w:rPr>
        <w:t xml:space="preserve">       </w:t>
      </w:r>
      <w:r>
        <w:rPr>
          <w:rFonts w:hint="eastAsia" w:ascii="仿宋_GB2312" w:hAnsi="仿宋_GB2312" w:eastAsia="仿宋_GB2312" w:cs="仿宋_GB2312"/>
          <w:sz w:val="28"/>
          <w:szCs w:val="28"/>
          <w:u w:val="none"/>
          <w:lang w:val="en-US" w:eastAsia="zh-CN"/>
        </w:rPr>
        <w:t>；联系电话：</w:t>
      </w:r>
      <w:r>
        <w:rPr>
          <w:rFonts w:hint="eastAsia" w:hAnsi="仿宋_GB2312" w:cs="仿宋_GB2312"/>
          <w:sz w:val="28"/>
          <w:szCs w:val="28"/>
          <w:u w:val="single"/>
          <w:lang w:val="en-US" w:eastAsia="zh-CN"/>
        </w:rPr>
        <w:t xml:space="preserve">            </w:t>
      </w:r>
    </w:p>
    <w:p w14:paraId="2E0E4E97">
      <w:pPr>
        <w:keepNext w:val="0"/>
        <w:keepLines w:val="0"/>
        <w:pageBreakBefore w:val="0"/>
        <w:widowControl/>
        <w:kinsoku/>
        <w:wordWrap w:val="0"/>
        <w:overflowPunct/>
        <w:topLinePunct w:val="0"/>
        <w:autoSpaceDE/>
        <w:autoSpaceDN/>
        <w:bidi w:val="0"/>
        <w:adjustRightInd w:val="0"/>
        <w:snapToGrid w:val="0"/>
        <w:spacing w:line="520" w:lineRule="exact"/>
        <w:ind w:left="0" w:leftChars="0"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甲乙双方本着互惠互利、共同发展的原则，根据《中华人民共和国民法典》等相关法律，就甲方将其果蔬大棚</w:t>
      </w:r>
      <w:r>
        <w:rPr>
          <w:rFonts w:hint="eastAsia" w:ascii="仿宋_GB2312" w:hAnsi="仿宋_GB2312" w:eastAsia="仿宋_GB2312" w:cs="仿宋_GB2312"/>
          <w:sz w:val="32"/>
          <w:szCs w:val="32"/>
          <w:lang w:val="en-US" w:eastAsia="zh-CN"/>
        </w:rPr>
        <w:t>部分</w:t>
      </w:r>
      <w:r>
        <w:rPr>
          <w:rFonts w:hint="eastAsia" w:ascii="仿宋_GB2312" w:hAnsi="仿宋_GB2312" w:eastAsia="仿宋_GB2312" w:cs="仿宋_GB2312"/>
          <w:sz w:val="32"/>
          <w:szCs w:val="32"/>
        </w:rPr>
        <w:t>委托给乙方承包经营事宜，达成共识，特订立如下合同条款，以资双方共同信守。</w:t>
      </w:r>
    </w:p>
    <w:p w14:paraId="3BD28332">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left="0" w:leftChars="0" w:firstLine="63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第一条  大</w:t>
      </w:r>
      <w:r>
        <w:rPr>
          <w:rFonts w:hint="eastAsia" w:ascii="仿宋_GB2312" w:hAnsi="仿宋_GB2312" w:eastAsia="仿宋_GB2312" w:cs="仿宋_GB2312"/>
          <w:b/>
          <w:bCs/>
          <w:sz w:val="32"/>
          <w:szCs w:val="32"/>
        </w:rPr>
        <w:t>棚基本情况</w:t>
      </w:r>
    </w:p>
    <w:p w14:paraId="7EC3277C">
      <w:pPr>
        <w:keepNext w:val="0"/>
        <w:keepLines w:val="0"/>
        <w:pageBreakBefore w:val="0"/>
        <w:numPr>
          <w:ilvl w:val="0"/>
          <w:numId w:val="1"/>
        </w:numPr>
        <w:kinsoku/>
        <w:wordWrap w:val="0"/>
        <w:overflowPunct/>
        <w:topLinePunct w:val="0"/>
        <w:autoSpaceDE/>
        <w:autoSpaceDN/>
        <w:bidi w:val="0"/>
        <w:adjustRightInd w:val="0"/>
        <w:snapToGrid w:val="0"/>
        <w:spacing w:line="520" w:lineRule="exact"/>
        <w:ind w:left="0" w:leftChars="0" w:firstLine="632" w:firstLineChars="200"/>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甲方将位于</w:t>
      </w:r>
      <w:r>
        <w:rPr>
          <w:rFonts w:hint="eastAsia" w:ascii="仿宋_GB2312" w:hAnsi="仿宋_GB2312" w:eastAsia="仿宋_GB2312" w:cs="仿宋_GB2312"/>
          <w:color w:val="auto"/>
          <w:sz w:val="32"/>
          <w:szCs w:val="32"/>
          <w:highlight w:val="none"/>
          <w:u w:val="single"/>
          <w:lang w:eastAsia="zh-CN"/>
        </w:rPr>
        <w:t>海南</w:t>
      </w:r>
      <w:r>
        <w:rPr>
          <w:rFonts w:hint="eastAsia" w:ascii="仿宋_GB2312" w:hAnsi="仿宋_GB2312" w:eastAsia="仿宋_GB2312" w:cs="仿宋_GB2312"/>
          <w:color w:val="auto"/>
          <w:sz w:val="32"/>
          <w:szCs w:val="32"/>
          <w:highlight w:val="none"/>
        </w:rPr>
        <w:t>省</w:t>
      </w:r>
      <w:r>
        <w:rPr>
          <w:rFonts w:hint="eastAsia" w:ascii="仿宋_GB2312" w:hAnsi="仿宋_GB2312" w:eastAsia="仿宋_GB2312" w:cs="仿宋_GB2312"/>
          <w:color w:val="auto"/>
          <w:sz w:val="32"/>
          <w:szCs w:val="32"/>
          <w:highlight w:val="none"/>
          <w:u w:val="single"/>
          <w:lang w:eastAsia="zh-CN"/>
        </w:rPr>
        <w:t>定安</w:t>
      </w:r>
      <w:r>
        <w:rPr>
          <w:rFonts w:hint="eastAsia" w:ascii="仿宋_GB2312" w:hAnsi="仿宋_GB2312" w:eastAsia="仿宋_GB2312" w:cs="仿宋_GB2312"/>
          <w:color w:val="auto"/>
          <w:sz w:val="32"/>
          <w:szCs w:val="32"/>
          <w:highlight w:val="none"/>
        </w:rPr>
        <w:t>县（区）</w:t>
      </w:r>
      <w:r>
        <w:rPr>
          <w:rFonts w:hint="eastAsia" w:hAnsi="仿宋_GB2312" w:cs="仿宋_GB2312"/>
          <w:color w:val="auto"/>
          <w:sz w:val="32"/>
          <w:szCs w:val="32"/>
          <w:highlight w:val="none"/>
          <w:u w:val="single"/>
          <w:lang w:val="en-US" w:eastAsia="zh-CN"/>
        </w:rPr>
        <w:t>雷鸣</w:t>
      </w:r>
      <w:r>
        <w:rPr>
          <w:rFonts w:hint="eastAsia" w:ascii="仿宋_GB2312" w:hAnsi="仿宋_GB2312" w:eastAsia="仿宋_GB2312" w:cs="仿宋_GB2312"/>
          <w:color w:val="auto"/>
          <w:sz w:val="32"/>
          <w:szCs w:val="32"/>
          <w:highlight w:val="none"/>
        </w:rPr>
        <w:t>镇（乡）</w:t>
      </w:r>
      <w:r>
        <w:rPr>
          <w:rFonts w:hint="eastAsia" w:hAnsi="仿宋_GB2312" w:cs="仿宋_GB2312"/>
          <w:color w:val="auto"/>
          <w:sz w:val="32"/>
          <w:szCs w:val="32"/>
          <w:highlight w:val="none"/>
          <w:u w:val="single"/>
          <w:lang w:val="en-US" w:eastAsia="zh-CN"/>
        </w:rPr>
        <w:t>石盘坡</w:t>
      </w:r>
      <w:r>
        <w:rPr>
          <w:rFonts w:hint="eastAsia" w:ascii="仿宋_GB2312" w:hAnsi="仿宋_GB2312" w:eastAsia="仿宋_GB2312" w:cs="仿宋_GB2312"/>
          <w:color w:val="auto"/>
          <w:sz w:val="32"/>
          <w:szCs w:val="32"/>
          <w:highlight w:val="none"/>
        </w:rPr>
        <w:t>村的占地总面积为</w:t>
      </w:r>
      <w:r>
        <w:rPr>
          <w:rFonts w:hint="eastAsia" w:hAnsi="仿宋_GB2312" w:cs="仿宋_GB2312"/>
          <w:color w:val="auto"/>
          <w:sz w:val="32"/>
          <w:szCs w:val="32"/>
          <w:highlight w:val="none"/>
          <w:u w:val="single"/>
          <w:lang w:val="en-US" w:eastAsia="zh-CN"/>
        </w:rPr>
        <w:t>48.77</w:t>
      </w:r>
      <w:r>
        <w:rPr>
          <w:rFonts w:hint="eastAsia" w:ascii="仿宋_GB2312" w:hAnsi="仿宋_GB2312" w:eastAsia="仿宋_GB2312" w:cs="仿宋_GB2312"/>
          <w:color w:val="auto"/>
          <w:sz w:val="32"/>
          <w:szCs w:val="32"/>
          <w:highlight w:val="none"/>
          <w:lang w:val="en-US" w:eastAsia="zh-CN"/>
        </w:rPr>
        <w:t>亩</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val="en-US" w:eastAsia="zh-CN"/>
        </w:rPr>
        <w:t>简易</w:t>
      </w:r>
      <w:r>
        <w:rPr>
          <w:rFonts w:hint="eastAsia" w:ascii="仿宋_GB2312" w:hAnsi="仿宋_GB2312" w:eastAsia="仿宋_GB2312" w:cs="仿宋_GB2312"/>
          <w:color w:val="auto"/>
          <w:sz w:val="32"/>
          <w:szCs w:val="32"/>
          <w:highlight w:val="none"/>
        </w:rPr>
        <w:t>大棚（详见下列基本情况表，以下</w:t>
      </w:r>
      <w:r>
        <w:rPr>
          <w:rFonts w:hint="eastAsia" w:ascii="仿宋_GB2312" w:hAnsi="仿宋_GB2312" w:eastAsia="仿宋_GB2312" w:cs="仿宋_GB2312"/>
          <w:color w:val="auto"/>
          <w:sz w:val="32"/>
          <w:szCs w:val="32"/>
          <w:highlight w:val="none"/>
          <w:lang w:val="en-US" w:eastAsia="zh-CN"/>
        </w:rPr>
        <w:t>简易大棚</w:t>
      </w:r>
      <w:r>
        <w:rPr>
          <w:rFonts w:hint="eastAsia" w:ascii="仿宋_GB2312" w:hAnsi="仿宋_GB2312" w:eastAsia="仿宋_GB2312" w:cs="仿宋_GB2312"/>
          <w:color w:val="auto"/>
          <w:sz w:val="32"/>
          <w:szCs w:val="32"/>
          <w:highlight w:val="none"/>
        </w:rPr>
        <w:t>简称“</w:t>
      </w:r>
      <w:r>
        <w:rPr>
          <w:rFonts w:hint="eastAsia" w:hAnsi="仿宋_GB2312" w:cs="仿宋_GB2312"/>
          <w:color w:val="auto"/>
          <w:sz w:val="32"/>
          <w:szCs w:val="32"/>
          <w:highlight w:val="none"/>
          <w:lang w:val="en-US" w:eastAsia="zh-CN"/>
        </w:rPr>
        <w:t>生产大棚</w:t>
      </w:r>
      <w:r>
        <w:rPr>
          <w:rFonts w:hint="eastAsia" w:ascii="仿宋_GB2312" w:hAnsi="仿宋_GB2312" w:eastAsia="仿宋_GB2312" w:cs="仿宋_GB2312"/>
          <w:color w:val="auto"/>
          <w:sz w:val="32"/>
          <w:szCs w:val="32"/>
          <w:highlight w:val="none"/>
        </w:rPr>
        <w:t>”）承包给乙方，从事果蔬种植经营。</w:t>
      </w:r>
    </w:p>
    <w:tbl>
      <w:tblPr>
        <w:tblStyle w:val="17"/>
        <w:tblW w:w="8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2008"/>
        <w:gridCol w:w="1435"/>
        <w:gridCol w:w="2544"/>
        <w:gridCol w:w="1897"/>
      </w:tblGrid>
      <w:tr w14:paraId="53C7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736" w:type="dxa"/>
            <w:vAlign w:val="center"/>
          </w:tcPr>
          <w:p w14:paraId="7AF3009A">
            <w:pPr>
              <w:keepNext w:val="0"/>
              <w:keepLines w:val="0"/>
              <w:pageBreakBefore w:val="0"/>
              <w:kinsoku/>
              <w:overflowPunct/>
              <w:topLinePunct w:val="0"/>
              <w:autoSpaceDE/>
              <w:autoSpaceDN/>
              <w:bidi w:val="0"/>
              <w:spacing w:line="520" w:lineRule="exact"/>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序号</w:t>
            </w:r>
          </w:p>
        </w:tc>
        <w:tc>
          <w:tcPr>
            <w:tcW w:w="2008" w:type="dxa"/>
            <w:vAlign w:val="center"/>
          </w:tcPr>
          <w:p w14:paraId="2C443401">
            <w:pPr>
              <w:keepNext w:val="0"/>
              <w:keepLines w:val="0"/>
              <w:pageBreakBefore w:val="0"/>
              <w:kinsoku/>
              <w:overflowPunct/>
              <w:topLinePunct w:val="0"/>
              <w:autoSpaceDE/>
              <w:autoSpaceDN/>
              <w:bidi w:val="0"/>
              <w:spacing w:line="520" w:lineRule="exact"/>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rPr>
              <w:t>大棚地块名称</w:t>
            </w:r>
          </w:p>
        </w:tc>
        <w:tc>
          <w:tcPr>
            <w:tcW w:w="1435" w:type="dxa"/>
            <w:vAlign w:val="center"/>
          </w:tcPr>
          <w:p w14:paraId="58642F28">
            <w:pPr>
              <w:keepNext w:val="0"/>
              <w:keepLines w:val="0"/>
              <w:pageBreakBefore w:val="0"/>
              <w:kinsoku/>
              <w:overflowPunct/>
              <w:topLinePunct w:val="0"/>
              <w:autoSpaceDE/>
              <w:autoSpaceDN/>
              <w:bidi w:val="0"/>
              <w:spacing w:line="520" w:lineRule="exact"/>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rPr>
              <w:t>面积（亩）</w:t>
            </w:r>
          </w:p>
        </w:tc>
        <w:tc>
          <w:tcPr>
            <w:tcW w:w="2544" w:type="dxa"/>
            <w:vAlign w:val="center"/>
          </w:tcPr>
          <w:p w14:paraId="35F80FA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编号</w:t>
            </w:r>
          </w:p>
        </w:tc>
        <w:tc>
          <w:tcPr>
            <w:tcW w:w="1897" w:type="dxa"/>
            <w:vAlign w:val="center"/>
          </w:tcPr>
          <w:p w14:paraId="2FA30C61">
            <w:pPr>
              <w:keepNext w:val="0"/>
              <w:keepLines w:val="0"/>
              <w:pageBreakBefore w:val="0"/>
              <w:kinsoku/>
              <w:overflowPunct/>
              <w:topLinePunct w:val="0"/>
              <w:autoSpaceDE/>
              <w:autoSpaceDN/>
              <w:bidi w:val="0"/>
              <w:spacing w:line="520" w:lineRule="exact"/>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备注</w:t>
            </w:r>
          </w:p>
        </w:tc>
      </w:tr>
      <w:tr w14:paraId="54C5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36" w:type="dxa"/>
            <w:vAlign w:val="center"/>
          </w:tcPr>
          <w:p w14:paraId="2E00E475">
            <w:pPr>
              <w:keepNext w:val="0"/>
              <w:keepLines w:val="0"/>
              <w:pageBreakBefore w:val="0"/>
              <w:kinsoku/>
              <w:overflowPunct/>
              <w:topLinePunct w:val="0"/>
              <w:autoSpaceDE/>
              <w:autoSpaceDN/>
              <w:bidi w:val="0"/>
              <w:spacing w:line="520" w:lineRule="exact"/>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1</w:t>
            </w:r>
          </w:p>
        </w:tc>
        <w:tc>
          <w:tcPr>
            <w:tcW w:w="2008" w:type="dxa"/>
            <w:vAlign w:val="center"/>
          </w:tcPr>
          <w:p w14:paraId="5EAE44D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32"/>
                <w:szCs w:val="32"/>
                <w:vertAlign w:val="baseline"/>
                <w:lang w:val="en-US" w:eastAsia="zh-CN"/>
              </w:rPr>
            </w:pPr>
            <w:r>
              <w:rPr>
                <w:rFonts w:hint="eastAsia" w:hAnsi="仿宋_GB2312" w:cs="仿宋_GB2312"/>
                <w:sz w:val="32"/>
                <w:szCs w:val="32"/>
                <w:highlight w:val="none"/>
                <w:lang w:val="en-US" w:eastAsia="zh-CN"/>
              </w:rPr>
              <w:t>雷鸣镇应急保供蔬菜大棚基地</w:t>
            </w:r>
          </w:p>
        </w:tc>
        <w:tc>
          <w:tcPr>
            <w:tcW w:w="1435" w:type="dxa"/>
            <w:vAlign w:val="center"/>
          </w:tcPr>
          <w:p w14:paraId="7BF8BA1D">
            <w:pPr>
              <w:keepNext w:val="0"/>
              <w:keepLines w:val="0"/>
              <w:pageBreakBefore w:val="0"/>
              <w:kinsoku/>
              <w:overflowPunct/>
              <w:topLinePunct w:val="0"/>
              <w:autoSpaceDE/>
              <w:autoSpaceDN/>
              <w:bidi w:val="0"/>
              <w:spacing w:line="520" w:lineRule="exact"/>
              <w:jc w:val="center"/>
              <w:rPr>
                <w:rFonts w:hint="eastAsia" w:ascii="仿宋_GB2312" w:hAnsi="仿宋_GB2312" w:eastAsia="仿宋_GB2312" w:cs="仿宋_GB2312"/>
                <w:sz w:val="32"/>
                <w:szCs w:val="32"/>
                <w:lang w:val="en-US" w:eastAsia="zh-CN"/>
              </w:rPr>
            </w:pPr>
            <w:r>
              <w:rPr>
                <w:rFonts w:hint="eastAsia" w:hAnsi="仿宋_GB2312" w:cs="仿宋_GB2312"/>
                <w:color w:val="auto"/>
                <w:sz w:val="32"/>
                <w:szCs w:val="32"/>
                <w:highlight w:val="none"/>
                <w:u w:val="single"/>
                <w:lang w:val="en-US" w:eastAsia="zh-CN"/>
              </w:rPr>
              <w:t>48.77</w:t>
            </w:r>
            <w:r>
              <w:rPr>
                <w:rFonts w:hint="eastAsia" w:ascii="仿宋_GB2312" w:hAnsi="仿宋_GB2312" w:eastAsia="仿宋_GB2312" w:cs="仿宋_GB2312"/>
                <w:sz w:val="32"/>
                <w:szCs w:val="32"/>
                <w:lang w:val="en-US" w:eastAsia="zh-CN"/>
              </w:rPr>
              <w:t>亩</w:t>
            </w:r>
          </w:p>
        </w:tc>
        <w:tc>
          <w:tcPr>
            <w:tcW w:w="2544" w:type="dxa"/>
            <w:vAlign w:val="center"/>
          </w:tcPr>
          <w:p w14:paraId="4965835E">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b w:val="0"/>
                <w:bCs w:val="0"/>
                <w:sz w:val="32"/>
                <w:szCs w:val="32"/>
                <w:lang w:val="en-US" w:eastAsia="zh-CN"/>
              </w:rPr>
            </w:pPr>
            <w:r>
              <w:rPr>
                <w:rFonts w:hint="eastAsia" w:hAnsi="仿宋_GB2312" w:cs="仿宋_GB2312"/>
                <w:sz w:val="32"/>
                <w:szCs w:val="32"/>
                <w:highlight w:val="none"/>
                <w:lang w:val="en-US" w:eastAsia="zh-CN"/>
              </w:rPr>
              <w:t>生产大棚</w:t>
            </w:r>
            <w:r>
              <w:rPr>
                <w:rFonts w:hint="eastAsia" w:ascii="仿宋_GB2312" w:hAnsi="仿宋_GB2312" w:eastAsia="仿宋_GB2312" w:cs="仿宋_GB2312"/>
                <w:sz w:val="32"/>
                <w:szCs w:val="32"/>
                <w:lang w:val="en-US" w:eastAsia="zh-CN"/>
              </w:rPr>
              <w:t>：</w:t>
            </w:r>
          </w:p>
        </w:tc>
        <w:tc>
          <w:tcPr>
            <w:tcW w:w="1897" w:type="dxa"/>
            <w:vAlign w:val="center"/>
          </w:tcPr>
          <w:p w14:paraId="7153A4B6">
            <w:pPr>
              <w:keepNext w:val="0"/>
              <w:keepLines w:val="0"/>
              <w:pageBreakBefore w:val="0"/>
              <w:kinsoku/>
              <w:overflowPunct/>
              <w:topLinePunct w:val="0"/>
              <w:autoSpaceDE/>
              <w:autoSpaceDN/>
              <w:bidi w:val="0"/>
              <w:spacing w:line="52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乙方自行运营种植蔬菜</w:t>
            </w:r>
          </w:p>
        </w:tc>
      </w:tr>
    </w:tbl>
    <w:p w14:paraId="265FC9A0">
      <w:pPr>
        <w:keepNext w:val="0"/>
        <w:keepLines w:val="0"/>
        <w:pageBreakBefore w:val="0"/>
        <w:widowControl/>
        <w:numPr>
          <w:ilvl w:val="0"/>
          <w:numId w:val="0"/>
        </w:numPr>
        <w:kinsoku/>
        <w:wordWrap w:val="0"/>
        <w:overflowPunct/>
        <w:topLinePunct w:val="0"/>
        <w:autoSpaceDE/>
        <w:autoSpaceDN/>
        <w:bidi w:val="0"/>
        <w:adjustRightInd w:val="0"/>
        <w:snapToGrid w:val="0"/>
        <w:spacing w:line="240" w:lineRule="auto"/>
        <w:rPr>
          <w:rFonts w:hint="eastAsia" w:ascii="仿宋_GB2312" w:hAnsi="仿宋_GB2312" w:eastAsia="仿宋_GB2312" w:cs="仿宋_GB2312"/>
          <w:b/>
          <w:bCs/>
          <w:sz w:val="32"/>
          <w:szCs w:val="32"/>
          <w:lang w:val="en-US" w:eastAsia="zh-CN"/>
        </w:rPr>
      </w:pPr>
    </w:p>
    <w:p w14:paraId="221DD4B5">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第二条  </w:t>
      </w:r>
      <w:r>
        <w:rPr>
          <w:rFonts w:hint="eastAsia" w:ascii="仿宋_GB2312" w:hAnsi="仿宋_GB2312" w:eastAsia="仿宋_GB2312" w:cs="仿宋_GB2312"/>
          <w:b/>
          <w:bCs/>
          <w:sz w:val="32"/>
          <w:szCs w:val="32"/>
        </w:rPr>
        <w:t>承包期限和交付时间</w:t>
      </w:r>
    </w:p>
    <w:p w14:paraId="2F2C52AC">
      <w:pPr>
        <w:keepNext w:val="0"/>
        <w:keepLines w:val="0"/>
        <w:pageBreakBefore w:val="0"/>
        <w:numPr>
          <w:ilvl w:val="0"/>
          <w:numId w:val="0"/>
        </w:numPr>
        <w:kinsoku/>
        <w:wordWrap w:val="0"/>
        <w:overflowPunct/>
        <w:topLinePunct w:val="0"/>
        <w:autoSpaceDE/>
        <w:autoSpaceDN/>
        <w:bidi w:val="0"/>
        <w:adjustRightInd w:val="0"/>
        <w:snapToGrid w:val="0"/>
        <w:spacing w:line="520" w:lineRule="exact"/>
        <w:ind w:left="948" w:leftChars="200" w:hanging="316" w:hangingChars="100"/>
        <w:outlineLvl w:val="0"/>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sz w:val="32"/>
          <w:szCs w:val="32"/>
          <w:highlight w:val="none"/>
          <w:lang w:val="en-US" w:eastAsia="zh-CN"/>
        </w:rPr>
        <w:t>.合同期限为</w:t>
      </w:r>
      <w:r>
        <w:rPr>
          <w:rFonts w:hint="eastAsia" w:hAnsi="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lang w:val="en-US" w:eastAsia="zh-CN"/>
        </w:rPr>
        <w:t>年：</w:t>
      </w:r>
      <w:r>
        <w:rPr>
          <w:rFonts w:hint="eastAsia" w:hAnsi="仿宋_GB2312" w:cs="仿宋_GB2312"/>
          <w:color w:val="auto"/>
          <w:sz w:val="32"/>
          <w:szCs w:val="32"/>
          <w:highlight w:val="none"/>
          <w:lang w:val="en-US" w:eastAsia="zh-CN"/>
        </w:rPr>
        <w:t>合作期为</w:t>
      </w:r>
      <w:r>
        <w:rPr>
          <w:rFonts w:hint="eastAsia"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年</w:t>
      </w:r>
      <w:r>
        <w:rPr>
          <w:rFonts w:hint="eastAsia"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月</w:t>
      </w:r>
      <w:r>
        <w:rPr>
          <w:rFonts w:hint="eastAsia"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日至</w:t>
      </w:r>
      <w:r>
        <w:rPr>
          <w:rFonts w:hint="eastAsia"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年</w:t>
      </w:r>
      <w:r>
        <w:rPr>
          <w:rFonts w:hint="eastAsia" w:hAnsi="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月</w:t>
      </w:r>
      <w:r>
        <w:rPr>
          <w:rFonts w:hint="eastAsia" w:hAnsi="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lang w:val="en-US" w:eastAsia="zh-CN"/>
        </w:rPr>
        <w:t>日。合同到期后，</w:t>
      </w:r>
      <w:r>
        <w:rPr>
          <w:rFonts w:hint="eastAsia" w:hAnsi="仿宋_GB2312" w:cs="仿宋_GB2312"/>
          <w:color w:val="auto"/>
          <w:sz w:val="32"/>
          <w:szCs w:val="32"/>
          <w:highlight w:val="none"/>
          <w:lang w:val="en-US" w:eastAsia="zh-CN"/>
        </w:rPr>
        <w:t>同等条件下，</w:t>
      </w:r>
      <w:r>
        <w:rPr>
          <w:rFonts w:hint="eastAsia" w:ascii="仿宋_GB2312" w:hAnsi="仿宋_GB2312" w:eastAsia="仿宋_GB2312" w:cs="仿宋_GB2312"/>
          <w:color w:val="auto"/>
          <w:sz w:val="32"/>
          <w:szCs w:val="32"/>
          <w:highlight w:val="none"/>
          <w:lang w:val="en-US" w:eastAsia="zh-CN"/>
        </w:rPr>
        <w:t>乙方有优先续签权</w:t>
      </w:r>
      <w:r>
        <w:rPr>
          <w:rFonts w:hint="eastAsia" w:ascii="仿宋_GB2312" w:hAnsi="仿宋_GB2312" w:eastAsia="仿宋_GB2312" w:cs="仿宋_GB2312"/>
          <w:color w:val="auto"/>
          <w:sz w:val="32"/>
          <w:szCs w:val="32"/>
          <w:highlight w:val="none"/>
        </w:rPr>
        <w:t>。</w:t>
      </w:r>
    </w:p>
    <w:p w14:paraId="3E586FB7">
      <w:pPr>
        <w:keepNext w:val="0"/>
        <w:keepLines w:val="0"/>
        <w:pageBreakBefore w:val="0"/>
        <w:numPr>
          <w:ilvl w:val="0"/>
          <w:numId w:val="0"/>
        </w:numPr>
        <w:kinsoku/>
        <w:wordWrap w:val="0"/>
        <w:overflowPunct/>
        <w:topLinePunct w:val="0"/>
        <w:autoSpaceDE/>
        <w:autoSpaceDN/>
        <w:bidi w:val="0"/>
        <w:adjustRightInd w:val="0"/>
        <w:snapToGrid w:val="0"/>
        <w:spacing w:line="520" w:lineRule="exact"/>
        <w:ind w:left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甲方应于本合同签订后5日内将该大棚交付乙方；</w:t>
      </w:r>
    </w:p>
    <w:p w14:paraId="080D8FC9">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本合同承包期限届满前，乙方应提前一个月告知甲方是否续包；同等条件下乙方享有优先继续承包的权利。</w:t>
      </w:r>
    </w:p>
    <w:p w14:paraId="4D026C0F">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乙方不继续承包大棚的，应当于本合同承包期限届满之日起</w:t>
      </w:r>
      <w:r>
        <w:rPr>
          <w:rFonts w:hint="eastAsia" w:hAnsi="仿宋_GB2312" w:cs="仿宋_GB2312"/>
          <w:sz w:val="32"/>
          <w:szCs w:val="32"/>
          <w:u w:val="single"/>
          <w:lang w:val="en-US" w:eastAsia="zh-CN"/>
        </w:rPr>
        <w:t>7</w:t>
      </w:r>
      <w:r>
        <w:rPr>
          <w:rFonts w:hint="eastAsia" w:ascii="仿宋_GB2312" w:hAnsi="仿宋_GB2312" w:eastAsia="仿宋_GB2312" w:cs="仿宋_GB2312"/>
          <w:sz w:val="32"/>
          <w:szCs w:val="32"/>
        </w:rPr>
        <w:t>日内将大棚交还甲方；乙方承包期间增建的地上附着物及相关设备设施按下列方式处理：</w:t>
      </w:r>
    </w:p>
    <w:p w14:paraId="79C572AA">
      <w:pPr>
        <w:keepNext w:val="0"/>
        <w:keepLines w:val="0"/>
        <w:pageBreakBefore w:val="0"/>
        <w:numPr>
          <w:ilvl w:val="0"/>
          <w:numId w:val="0"/>
        </w:numPr>
        <w:kinsoku/>
        <w:wordWrap w:val="0"/>
        <w:overflowPunct/>
        <w:topLinePunct w:val="0"/>
        <w:autoSpaceDE/>
        <w:autoSpaceDN/>
        <w:bidi w:val="0"/>
        <w:adjustRightInd w:val="0"/>
        <w:snapToGrid w:val="0"/>
        <w:spacing w:line="520" w:lineRule="exact"/>
        <w:ind w:left="0" w:leftChars="0" w:firstLine="632"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属于乙方承包前原有设备设施更新维修的，该更换新设备设施归属于甲方所有 ；</w:t>
      </w:r>
    </w:p>
    <w:p w14:paraId="1AD7729F">
      <w:pPr>
        <w:keepNext w:val="0"/>
        <w:keepLines w:val="0"/>
        <w:pageBreakBefore w:val="0"/>
        <w:numPr>
          <w:ilvl w:val="0"/>
          <w:numId w:val="0"/>
        </w:numPr>
        <w:kinsoku/>
        <w:wordWrap w:val="0"/>
        <w:overflowPunct/>
        <w:topLinePunct w:val="0"/>
        <w:autoSpaceDE/>
        <w:autoSpaceDN/>
        <w:bidi w:val="0"/>
        <w:adjustRightInd w:val="0"/>
        <w:snapToGrid w:val="0"/>
        <w:spacing w:line="520" w:lineRule="exact"/>
        <w:ind w:left="0" w:leftChars="0" w:firstLine="632" w:firstLineChars="200"/>
        <w:outlineLvl w:val="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属于承包前没有、完全由乙方在承包期内新建或新购置的，归属于乙方所有，或者按照双方商定价格转让给甲方</w:t>
      </w:r>
      <w:r>
        <w:rPr>
          <w:rFonts w:hint="eastAsia" w:ascii="仿宋_GB2312" w:hAnsi="仿宋_GB2312" w:eastAsia="仿宋_GB2312" w:cs="仿宋_GB2312"/>
          <w:sz w:val="32"/>
          <w:szCs w:val="32"/>
          <w:lang w:eastAsia="zh-CN"/>
        </w:rPr>
        <w:t>，或者乙方自行处理。</w:t>
      </w:r>
    </w:p>
    <w:p w14:paraId="4313317C">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left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第三条  </w:t>
      </w:r>
      <w:r>
        <w:rPr>
          <w:rFonts w:hint="eastAsia" w:ascii="仿宋_GB2312" w:hAnsi="仿宋_GB2312" w:eastAsia="仿宋_GB2312" w:cs="仿宋_GB2312"/>
          <w:b/>
          <w:bCs/>
          <w:sz w:val="32"/>
          <w:szCs w:val="32"/>
          <w:lang w:eastAsia="zh-CN"/>
        </w:rPr>
        <w:t>租</w:t>
      </w:r>
      <w:r>
        <w:rPr>
          <w:rFonts w:hint="eastAsia" w:hAnsi="仿宋_GB2312" w:cs="仿宋_GB2312"/>
          <w:b/>
          <w:bCs/>
          <w:sz w:val="32"/>
          <w:szCs w:val="32"/>
          <w:lang w:eastAsia="zh-CN"/>
        </w:rPr>
        <w:t>金</w:t>
      </w:r>
      <w:r>
        <w:rPr>
          <w:rFonts w:hint="eastAsia" w:ascii="仿宋_GB2312" w:hAnsi="仿宋_GB2312" w:eastAsia="仿宋_GB2312" w:cs="仿宋_GB2312"/>
          <w:b/>
          <w:bCs/>
          <w:sz w:val="32"/>
          <w:szCs w:val="32"/>
          <w:lang w:eastAsia="zh-CN"/>
        </w:rPr>
        <w:t>、分红</w:t>
      </w:r>
      <w:r>
        <w:rPr>
          <w:rFonts w:hint="eastAsia" w:ascii="仿宋_GB2312" w:hAnsi="仿宋_GB2312" w:eastAsia="仿宋_GB2312" w:cs="仿宋_GB2312"/>
          <w:b/>
          <w:bCs/>
          <w:sz w:val="32"/>
          <w:szCs w:val="32"/>
        </w:rPr>
        <w:t>与支付方式</w:t>
      </w:r>
    </w:p>
    <w:p w14:paraId="2CF927A6">
      <w:pPr>
        <w:keepNext w:val="0"/>
        <w:keepLines w:val="0"/>
        <w:pageBreakBefore w:val="0"/>
        <w:widowControl w:val="0"/>
        <w:numPr>
          <w:ilvl w:val="0"/>
          <w:numId w:val="0"/>
        </w:numPr>
        <w:kinsoku/>
        <w:wordWrap w:val="0"/>
        <w:overflowPunct/>
        <w:topLinePunct w:val="0"/>
        <w:autoSpaceDE/>
        <w:autoSpaceDN/>
        <w:bidi w:val="0"/>
        <w:adjustRightInd w:val="0"/>
        <w:snapToGrid w:val="0"/>
        <w:spacing w:after="0" w:line="520" w:lineRule="atLeast"/>
        <w:ind w:left="0" w:leftChars="0" w:firstLine="632" w:firstLineChars="200"/>
        <w:outlineLvl w:val="0"/>
        <w:rPr>
          <w:rFonts w:hint="eastAsia" w:hAnsi="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乙方需在协议签订起3日内，向甲方支付￥</w:t>
      </w:r>
      <w:r>
        <w:rPr>
          <w:rFonts w:hint="eastAsia" w:hAnsi="仿宋_GB2312" w:cs="仿宋_GB2312"/>
          <w:sz w:val="32"/>
          <w:szCs w:val="32"/>
          <w:highlight w:val="yellow"/>
          <w:u w:val="single"/>
          <w:lang w:val="en-US" w:eastAsia="zh-CN"/>
        </w:rPr>
        <w:t xml:space="preserve">20000 </w:t>
      </w:r>
      <w:r>
        <w:rPr>
          <w:rFonts w:hint="eastAsia" w:ascii="仿宋_GB2312" w:hAnsi="仿宋_GB2312" w:eastAsia="仿宋_GB2312" w:cs="仿宋_GB2312"/>
          <w:sz w:val="32"/>
          <w:szCs w:val="32"/>
          <w:highlight w:val="yellow"/>
          <w:lang w:val="en-US" w:eastAsia="zh-CN"/>
        </w:rPr>
        <w:t>（大写：</w:t>
      </w:r>
      <w:r>
        <w:rPr>
          <w:rFonts w:hint="eastAsia" w:hAnsi="仿宋_GB2312" w:cs="仿宋_GB2312"/>
          <w:sz w:val="32"/>
          <w:szCs w:val="32"/>
          <w:highlight w:val="yellow"/>
          <w:lang w:val="en-US" w:eastAsia="zh-CN"/>
        </w:rPr>
        <w:t>贰</w:t>
      </w:r>
      <w:bookmarkStart w:id="0" w:name="_GoBack"/>
      <w:bookmarkEnd w:id="0"/>
      <w:r>
        <w:rPr>
          <w:rFonts w:hint="eastAsia" w:ascii="仿宋_GB2312" w:hAnsi="仿宋_GB2312" w:eastAsia="仿宋_GB2312" w:cs="仿宋_GB2312"/>
          <w:sz w:val="32"/>
          <w:szCs w:val="32"/>
          <w:highlight w:val="yellow"/>
          <w:lang w:val="en-US" w:eastAsia="zh-CN"/>
        </w:rPr>
        <w:t>万元整</w:t>
      </w:r>
      <w:r>
        <w:rPr>
          <w:rFonts w:hint="eastAsia" w:ascii="仿宋_GB2312" w:hAnsi="仿宋_GB2312" w:eastAsia="仿宋_GB2312" w:cs="仿宋_GB2312"/>
          <w:sz w:val="32"/>
          <w:szCs w:val="32"/>
          <w:lang w:val="en-US" w:eastAsia="zh-CN"/>
        </w:rPr>
        <w:t>）作为承包保证金。</w:t>
      </w:r>
      <w:r>
        <w:rPr>
          <w:rFonts w:hint="eastAsia" w:hAnsi="仿宋_GB2312" w:cs="仿宋_GB2312"/>
          <w:sz w:val="32"/>
          <w:szCs w:val="32"/>
          <w:lang w:val="en-US" w:eastAsia="zh-CN"/>
        </w:rPr>
        <w:t>如乙方在合作期内无违约行为，保证金于合同到期后15个工作日内全额退还乙方。</w:t>
      </w:r>
    </w:p>
    <w:p w14:paraId="29AC9C30">
      <w:pPr>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after="0" w:afterAutospacing="0" w:line="520" w:lineRule="atLeast"/>
        <w:ind w:left="0" w:leftChars="0" w:firstLine="632" w:firstLineChars="200"/>
        <w:outlineLvl w:val="0"/>
        <w:rPr>
          <w:rFonts w:hint="eastAsia" w:ascii="仿宋_GB2312" w:hAnsi="仿宋_GB2312" w:eastAsia="仿宋_GB2312" w:cs="仿宋_GB2312"/>
          <w:kern w:val="2"/>
          <w:sz w:val="32"/>
          <w:szCs w:val="32"/>
          <w:lang w:val="en-US" w:eastAsia="zh-CN" w:bidi="ar-SA"/>
        </w:rPr>
      </w:pPr>
      <w:r>
        <w:rPr>
          <w:rFonts w:hint="eastAsia" w:hAnsi="仿宋_GB2312" w:cs="仿宋_GB2312"/>
          <w:kern w:val="2"/>
          <w:sz w:val="32"/>
          <w:szCs w:val="32"/>
          <w:lang w:val="en-US" w:eastAsia="zh-CN" w:bidi="ar-SA"/>
        </w:rPr>
        <w:t>2.种植棚</w:t>
      </w:r>
      <w:r>
        <w:rPr>
          <w:rFonts w:hint="eastAsia" w:ascii="仿宋_GB2312" w:hAnsi="仿宋_GB2312" w:eastAsia="仿宋_GB2312" w:cs="仿宋_GB2312"/>
          <w:kern w:val="2"/>
          <w:sz w:val="32"/>
          <w:szCs w:val="32"/>
          <w:lang w:val="en-US" w:eastAsia="zh-CN" w:bidi="ar-SA"/>
        </w:rPr>
        <w:t>租金计算方式及支付</w:t>
      </w:r>
    </w:p>
    <w:p w14:paraId="53879BCF">
      <w:pPr>
        <w:pStyle w:val="2"/>
        <w:rPr>
          <w:rFonts w:hint="eastAsia"/>
        </w:rPr>
      </w:pPr>
      <w:r>
        <w:rPr>
          <w:rFonts w:hint="eastAsia" w:ascii="仿宋_GB2312" w:hAnsi="仿宋_GB2312" w:eastAsia="仿宋_GB2312" w:cs="仿宋_GB2312"/>
          <w:sz w:val="32"/>
          <w:szCs w:val="32"/>
          <w:lang w:val="en-US" w:eastAsia="zh-CN"/>
        </w:rPr>
        <w:t>乙方</w:t>
      </w:r>
      <w:r>
        <w:rPr>
          <w:rFonts w:hint="eastAsia" w:hAnsi="仿宋_GB2312" w:cs="仿宋_GB2312"/>
          <w:sz w:val="32"/>
          <w:szCs w:val="32"/>
          <w:lang w:val="en-US" w:eastAsia="zh-CN"/>
        </w:rPr>
        <w:t>自行</w:t>
      </w:r>
      <w:r>
        <w:rPr>
          <w:rFonts w:hint="eastAsia" w:ascii="仿宋_GB2312" w:hAnsi="仿宋_GB2312" w:eastAsia="仿宋_GB2312" w:cs="仿宋_GB2312"/>
          <w:sz w:val="32"/>
          <w:szCs w:val="32"/>
          <w:lang w:val="en-US" w:eastAsia="zh-CN"/>
        </w:rPr>
        <w:t>在其承包的大棚内种植蔬菜，按</w:t>
      </w:r>
      <w:r>
        <w:rPr>
          <w:rFonts w:hint="eastAsia" w:hAnsi="仿宋_GB2312" w:cs="仿宋_GB2312"/>
          <w:sz w:val="32"/>
          <w:szCs w:val="32"/>
          <w:lang w:val="en-US" w:eastAsia="zh-CN"/>
        </w:rPr>
        <w:t>2400</w:t>
      </w:r>
      <w:r>
        <w:rPr>
          <w:rFonts w:hint="eastAsia" w:ascii="仿宋_GB2312" w:hAnsi="仿宋_GB2312" w:eastAsia="仿宋_GB2312" w:cs="仿宋_GB2312"/>
          <w:sz w:val="32"/>
          <w:szCs w:val="32"/>
          <w:lang w:val="en-US" w:eastAsia="zh-CN"/>
        </w:rPr>
        <w:t>元/亩/年进行计算租金，总租地</w:t>
      </w:r>
      <w:r>
        <w:rPr>
          <w:rFonts w:hint="eastAsia" w:hAnsi="仿宋_GB2312" w:cs="仿宋_GB2312"/>
          <w:sz w:val="32"/>
          <w:szCs w:val="32"/>
          <w:lang w:val="en-US" w:eastAsia="zh-CN"/>
        </w:rPr>
        <w:t>48.77</w:t>
      </w:r>
      <w:r>
        <w:rPr>
          <w:rFonts w:hint="eastAsia" w:ascii="仿宋_GB2312" w:hAnsi="仿宋_GB2312" w:eastAsia="仿宋_GB2312" w:cs="仿宋_GB2312"/>
          <w:sz w:val="32"/>
          <w:szCs w:val="32"/>
          <w:lang w:val="en-US" w:eastAsia="zh-CN"/>
        </w:rPr>
        <w:t>亩，</w:t>
      </w:r>
      <w:r>
        <w:rPr>
          <w:rFonts w:hint="eastAsia" w:hAnsi="仿宋_GB2312" w:cs="仿宋_GB2312"/>
          <w:sz w:val="32"/>
          <w:szCs w:val="32"/>
          <w:lang w:val="en-US" w:eastAsia="zh-CN"/>
        </w:rPr>
        <w:t>年</w:t>
      </w:r>
      <w:r>
        <w:rPr>
          <w:rFonts w:hint="eastAsia" w:ascii="仿宋_GB2312" w:hAnsi="仿宋_GB2312" w:eastAsia="仿宋_GB2312" w:cs="仿宋_GB2312"/>
          <w:sz w:val="32"/>
          <w:szCs w:val="32"/>
          <w:lang w:val="en-US" w:eastAsia="zh-CN"/>
        </w:rPr>
        <w:t>租金</w:t>
      </w:r>
      <w:r>
        <w:rPr>
          <w:rFonts w:hint="eastAsia" w:hAnsi="仿宋_GB2312" w:cs="仿宋_GB2312"/>
          <w:sz w:val="32"/>
          <w:szCs w:val="32"/>
          <w:lang w:val="en-US" w:eastAsia="zh-CN"/>
        </w:rPr>
        <w:t>为</w:t>
      </w:r>
      <w:r>
        <w:rPr>
          <w:rFonts w:hint="eastAsia" w:ascii="仿宋_GB2312" w:hAnsi="仿宋_GB2312" w:eastAsia="仿宋_GB2312" w:cs="仿宋_GB2312"/>
          <w:sz w:val="32"/>
          <w:szCs w:val="32"/>
          <w:lang w:val="en-US" w:eastAsia="zh-CN"/>
        </w:rPr>
        <w:t>：￥</w:t>
      </w:r>
      <w:r>
        <w:rPr>
          <w:rFonts w:hint="eastAsia" w:hAnsi="仿宋_GB2312" w:cs="仿宋_GB2312"/>
          <w:sz w:val="32"/>
          <w:szCs w:val="32"/>
          <w:lang w:val="en-US" w:eastAsia="zh-CN"/>
        </w:rPr>
        <w:t>117048</w:t>
      </w:r>
      <w:r>
        <w:rPr>
          <w:rFonts w:hint="eastAsia" w:ascii="仿宋_GB2312" w:hAnsi="仿宋_GB2312" w:eastAsia="仿宋_GB2312" w:cs="仿宋_GB2312"/>
          <w:sz w:val="32"/>
          <w:szCs w:val="32"/>
          <w:lang w:val="en-US" w:eastAsia="zh-CN"/>
        </w:rPr>
        <w:t>（大写：</w:t>
      </w:r>
      <w:r>
        <w:rPr>
          <w:rFonts w:hint="eastAsia" w:hAnsi="仿宋_GB2312" w:cs="仿宋_GB2312"/>
          <w:sz w:val="32"/>
          <w:szCs w:val="32"/>
          <w:lang w:val="en-US" w:eastAsia="zh-CN"/>
        </w:rPr>
        <w:t>壹拾壹万柒仟零肆拾捌元整</w:t>
      </w:r>
      <w:r>
        <w:rPr>
          <w:rFonts w:hint="eastAsia" w:ascii="仿宋_GB2312" w:hAnsi="仿宋_GB2312" w:eastAsia="仿宋_GB2312" w:cs="仿宋_GB2312"/>
          <w:sz w:val="32"/>
          <w:szCs w:val="32"/>
          <w:lang w:val="en-US" w:eastAsia="zh-CN"/>
        </w:rPr>
        <w:t>）</w:t>
      </w:r>
      <w:r>
        <w:rPr>
          <w:rFonts w:hint="eastAsia" w:hAnsi="仿宋_GB2312" w:cs="仿宋_GB2312"/>
          <w:sz w:val="32"/>
          <w:szCs w:val="32"/>
          <w:lang w:val="en-US" w:eastAsia="zh-CN"/>
        </w:rPr>
        <w:t>，第一年租金减免当年租金50%，支付时间为</w:t>
      </w:r>
      <w:r>
        <w:rPr>
          <w:rFonts w:hint="eastAsia" w:ascii="仿宋_GB2312" w:hAnsi="仿宋_GB2312" w:eastAsia="仿宋_GB2312" w:cs="仿宋_GB2312"/>
          <w:sz w:val="32"/>
          <w:szCs w:val="32"/>
          <w:lang w:val="en-US" w:eastAsia="zh-CN"/>
        </w:rPr>
        <w:t>协议签订起3日内</w:t>
      </w:r>
      <w:r>
        <w:rPr>
          <w:rFonts w:hint="eastAsia" w:hAnsi="仿宋_GB2312" w:cs="仿宋_GB2312"/>
          <w:sz w:val="32"/>
          <w:szCs w:val="32"/>
          <w:lang w:val="en-US" w:eastAsia="zh-CN"/>
        </w:rPr>
        <w:t>，乙方</w:t>
      </w:r>
      <w:r>
        <w:rPr>
          <w:rFonts w:hint="eastAsia" w:ascii="仿宋_GB2312" w:hAnsi="仿宋_GB2312" w:eastAsia="仿宋_GB2312" w:cs="仿宋_GB2312"/>
          <w:sz w:val="32"/>
          <w:szCs w:val="32"/>
          <w:lang w:val="en-US" w:eastAsia="zh-CN"/>
        </w:rPr>
        <w:t>向甲方支付</w:t>
      </w:r>
      <w:r>
        <w:rPr>
          <w:rFonts w:hint="eastAsia" w:hAnsi="仿宋_GB2312" w:cs="仿宋_GB2312"/>
          <w:sz w:val="32"/>
          <w:szCs w:val="32"/>
          <w:lang w:val="en-US" w:eastAsia="zh-CN"/>
        </w:rPr>
        <w:t>减免后的第一年租金</w:t>
      </w:r>
      <w:r>
        <w:rPr>
          <w:rFonts w:hint="eastAsia" w:ascii="仿宋_GB2312" w:hAnsi="仿宋_GB2312" w:eastAsia="仿宋_GB2312" w:cs="仿宋_GB2312"/>
          <w:sz w:val="32"/>
          <w:szCs w:val="32"/>
          <w:lang w:val="en-US" w:eastAsia="zh-CN"/>
        </w:rPr>
        <w:t>￥</w:t>
      </w:r>
      <w:r>
        <w:rPr>
          <w:rFonts w:hint="eastAsia" w:hAnsi="仿宋_GB2312" w:cs="仿宋_GB2312"/>
          <w:sz w:val="32"/>
          <w:szCs w:val="32"/>
          <w:lang w:val="en-US" w:eastAsia="zh-CN"/>
        </w:rPr>
        <w:t>58524</w:t>
      </w:r>
      <w:r>
        <w:rPr>
          <w:rFonts w:hint="eastAsia" w:ascii="仿宋_GB2312" w:hAnsi="仿宋_GB2312" w:eastAsia="仿宋_GB2312" w:cs="仿宋_GB2312"/>
          <w:sz w:val="32"/>
          <w:szCs w:val="32"/>
          <w:lang w:val="en-US" w:eastAsia="zh-CN"/>
        </w:rPr>
        <w:t>（大写：</w:t>
      </w:r>
      <w:r>
        <w:rPr>
          <w:rFonts w:hint="eastAsia" w:hAnsi="仿宋_GB2312" w:cs="仿宋_GB2312"/>
          <w:sz w:val="32"/>
          <w:szCs w:val="32"/>
          <w:lang w:val="en-US" w:eastAsia="zh-CN"/>
        </w:rPr>
        <w:t>伍万捌仟伍佰贰拾肆元整</w:t>
      </w:r>
      <w:r>
        <w:rPr>
          <w:rFonts w:hint="eastAsia" w:ascii="仿宋_GB2312" w:hAnsi="仿宋_GB2312" w:eastAsia="仿宋_GB2312" w:cs="仿宋_GB2312"/>
          <w:sz w:val="32"/>
          <w:szCs w:val="32"/>
          <w:lang w:val="en-US" w:eastAsia="zh-CN"/>
        </w:rPr>
        <w:t>）</w:t>
      </w:r>
      <w:r>
        <w:rPr>
          <w:rFonts w:hint="eastAsia" w:hAnsi="仿宋_GB2312" w:cs="仿宋_GB2312"/>
          <w:sz w:val="32"/>
          <w:szCs w:val="32"/>
          <w:lang w:val="en-US" w:eastAsia="zh-CN"/>
        </w:rPr>
        <w:t>。次年开始每年租金交付时间为第一年租金交付时间前（如第一年租金支付时间为2026年12月31日，则次年租金交付时间为2027年12月31日前）</w:t>
      </w:r>
      <w:r>
        <w:rPr>
          <w:rFonts w:hint="eastAsia" w:ascii="仿宋_GB2312" w:hAnsi="仿宋_GB2312" w:eastAsia="仿宋_GB2312" w:cs="仿宋_GB2312"/>
          <w:sz w:val="32"/>
          <w:szCs w:val="32"/>
          <w:lang w:val="en-US" w:eastAsia="zh-CN"/>
        </w:rPr>
        <w:t>。</w:t>
      </w:r>
    </w:p>
    <w:p w14:paraId="157C7531">
      <w:pPr>
        <w:pStyle w:val="2"/>
        <w:keepNext w:val="0"/>
        <w:keepLines w:val="0"/>
        <w:pageBreakBefore w:val="0"/>
        <w:kinsoku/>
        <w:overflowPunct/>
        <w:topLinePunct w:val="0"/>
        <w:autoSpaceDE/>
        <w:autoSpaceDN/>
        <w:bidi w:val="0"/>
        <w:spacing w:line="520" w:lineRule="exact"/>
        <w:ind w:firstLine="632" w:firstLineChars="200"/>
        <w:rPr>
          <w:rFonts w:hint="eastAsia" w:ascii="仿宋_GB2312" w:hAnsi="仿宋_GB2312" w:eastAsia="仿宋_GB2312" w:cs="仿宋_GB2312"/>
          <w:kern w:val="2"/>
          <w:sz w:val="32"/>
          <w:szCs w:val="32"/>
          <w:lang w:val="en-US" w:eastAsia="zh-CN" w:bidi="ar-SA"/>
        </w:rPr>
      </w:pPr>
      <w:r>
        <w:rPr>
          <w:rFonts w:hint="eastAsia" w:hAnsi="仿宋_GB2312" w:cs="仿宋_GB2312"/>
          <w:sz w:val="32"/>
          <w:szCs w:val="32"/>
          <w:lang w:val="en-US" w:eastAsia="zh-CN"/>
        </w:rPr>
        <w:t>3.</w:t>
      </w:r>
      <w:r>
        <w:rPr>
          <w:rFonts w:hint="eastAsia" w:ascii="仿宋_GB2312" w:hAnsi="仿宋_GB2312" w:eastAsia="仿宋_GB2312" w:cs="仿宋_GB2312"/>
          <w:kern w:val="2"/>
          <w:sz w:val="32"/>
          <w:szCs w:val="32"/>
          <w:lang w:val="en-US" w:eastAsia="zh-CN" w:bidi="ar-SA"/>
        </w:rPr>
        <w:t>租金收款账户信息</w:t>
      </w:r>
    </w:p>
    <w:p w14:paraId="6FF8ACC4">
      <w:pPr>
        <w:pStyle w:val="5"/>
        <w:keepNext w:val="0"/>
        <w:keepLines w:val="0"/>
        <w:pageBreakBefore w:val="0"/>
        <w:kinsoku/>
        <w:overflowPunct/>
        <w:topLinePunct w:val="0"/>
        <w:autoSpaceDE/>
        <w:autoSpaceDN/>
        <w:bidi w:val="0"/>
        <w:spacing w:line="520" w:lineRule="exact"/>
        <w:ind w:left="632" w:leftChars="200" w:firstLine="0" w:firstLineChars="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账户名称：定安县雷鸣镇</w:t>
      </w:r>
      <w:r>
        <w:rPr>
          <w:rFonts w:hint="eastAsia" w:hAnsi="仿宋_GB2312" w:cs="仿宋_GB2312"/>
          <w:kern w:val="2"/>
          <w:sz w:val="32"/>
          <w:szCs w:val="32"/>
          <w:lang w:val="en-US" w:eastAsia="zh-CN" w:bidi="ar-SA"/>
        </w:rPr>
        <w:t>石盘坡</w:t>
      </w:r>
      <w:r>
        <w:rPr>
          <w:rFonts w:hint="eastAsia" w:ascii="仿宋_GB2312" w:hAnsi="仿宋_GB2312" w:eastAsia="仿宋_GB2312" w:cs="仿宋_GB2312"/>
          <w:kern w:val="2"/>
          <w:sz w:val="32"/>
          <w:szCs w:val="32"/>
          <w:lang w:val="en-US" w:eastAsia="zh-CN" w:bidi="ar-SA"/>
        </w:rPr>
        <w:t>村民委员会</w:t>
      </w:r>
    </w:p>
    <w:p w14:paraId="740F1B4E">
      <w:pPr>
        <w:pStyle w:val="5"/>
        <w:keepNext w:val="0"/>
        <w:keepLines w:val="0"/>
        <w:pageBreakBefore w:val="0"/>
        <w:kinsoku/>
        <w:overflowPunct/>
        <w:topLinePunct w:val="0"/>
        <w:autoSpaceDE/>
        <w:autoSpaceDN/>
        <w:bidi w:val="0"/>
        <w:spacing w:line="520" w:lineRule="exact"/>
        <w:ind w:left="632" w:leftChars="200" w:firstLine="0" w:firstLineChars="0"/>
        <w:rPr>
          <w:rFonts w:hint="eastAsia" w:ascii="仿宋_GB2312" w:hAnsi="仿宋_GB2312" w:eastAsia="仿宋_GB2312" w:cs="仿宋_GB2312"/>
          <w:kern w:val="2"/>
          <w:sz w:val="32"/>
          <w:szCs w:val="32"/>
          <w:lang w:val="en-US" w:eastAsia="zh-CN" w:bidi="ar-SA"/>
        </w:rPr>
      </w:pPr>
    </w:p>
    <w:p w14:paraId="5D0AFAD0">
      <w:pPr>
        <w:pStyle w:val="5"/>
        <w:keepNext w:val="0"/>
        <w:keepLines w:val="0"/>
        <w:pageBreakBefore w:val="0"/>
        <w:kinsoku/>
        <w:overflowPunct/>
        <w:topLinePunct w:val="0"/>
        <w:autoSpaceDE/>
        <w:autoSpaceDN/>
        <w:bidi w:val="0"/>
        <w:spacing w:line="520" w:lineRule="exact"/>
        <w:ind w:firstLine="632"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 户 行：海南农商银行定安雷鸣支行</w:t>
      </w:r>
    </w:p>
    <w:p w14:paraId="472E9C53">
      <w:pPr>
        <w:pStyle w:val="5"/>
        <w:keepNext w:val="0"/>
        <w:keepLines w:val="0"/>
        <w:pageBreakBefore w:val="0"/>
        <w:kinsoku/>
        <w:overflowPunct/>
        <w:topLinePunct w:val="0"/>
        <w:autoSpaceDE/>
        <w:autoSpaceDN/>
        <w:bidi w:val="0"/>
        <w:spacing w:line="520" w:lineRule="exact"/>
        <w:ind w:firstLine="632" w:firstLineChars="200"/>
        <w:rPr>
          <w:rFonts w:hint="eastAsia" w:ascii="仿宋_GB2312" w:hAnsi="仿宋_GB2312" w:eastAsia="仿宋_GB2312" w:cs="仿宋_GB2312"/>
          <w:kern w:val="2"/>
          <w:sz w:val="32"/>
          <w:szCs w:val="32"/>
          <w:lang w:val="en-US" w:eastAsia="zh-CN" w:bidi="ar-SA"/>
        </w:rPr>
      </w:pPr>
    </w:p>
    <w:p w14:paraId="2D08B356">
      <w:pPr>
        <w:pStyle w:val="5"/>
        <w:keepNext w:val="0"/>
        <w:keepLines w:val="0"/>
        <w:pageBreakBefore w:val="0"/>
        <w:kinsoku/>
        <w:overflowPunct/>
        <w:topLinePunct w:val="0"/>
        <w:autoSpaceDE/>
        <w:autoSpaceDN/>
        <w:bidi w:val="0"/>
        <w:spacing w:line="520" w:lineRule="exact"/>
        <w:ind w:firstLine="632"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账    号：1007</w:t>
      </w:r>
      <w:r>
        <w:rPr>
          <w:rFonts w:hint="eastAsia" w:hAnsi="仿宋_GB2312" w:cs="仿宋_GB2312"/>
          <w:kern w:val="2"/>
          <w:sz w:val="32"/>
          <w:szCs w:val="32"/>
          <w:lang w:val="en-US" w:eastAsia="zh-CN" w:bidi="ar-SA"/>
        </w:rPr>
        <w:t>286700000167</w:t>
      </w:r>
    </w:p>
    <w:p w14:paraId="06C0ECB8">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第四条  </w:t>
      </w:r>
      <w:r>
        <w:rPr>
          <w:rFonts w:hint="eastAsia" w:ascii="仿宋_GB2312" w:hAnsi="仿宋_GB2312" w:eastAsia="仿宋_GB2312" w:cs="仿宋_GB2312"/>
          <w:b/>
          <w:bCs/>
          <w:sz w:val="32"/>
          <w:szCs w:val="32"/>
        </w:rPr>
        <w:t>甲方的权利义务</w:t>
      </w:r>
    </w:p>
    <w:p w14:paraId="12EAB2E7">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甲方有权监督乙方按合同约定依法利用和保护该大棚，制止乙方的损害行为，并在本合同到期后收回该大棚。</w:t>
      </w:r>
    </w:p>
    <w:p w14:paraId="131197B9">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甲方承诺该发包大棚权属合法、清晰，无任何与该大棚有关的权属纠纷和经济纠纷；如在承包期内存在权属纠纷或经济纠纷的，由甲方负责处理并承担相应责任。</w:t>
      </w:r>
    </w:p>
    <w:p w14:paraId="766F7322">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甲方应当协助乙方处理与其他承包户或第三方发生的用路、用水、用电、边界等纠纷。</w:t>
      </w:r>
    </w:p>
    <w:p w14:paraId="1FCAC932">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甲方应当尊重乙方的生产经营自主权，不得干涉乙方依法进行正常的生产经营活动。</w:t>
      </w:r>
    </w:p>
    <w:p w14:paraId="19750C06">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left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第五条  </w:t>
      </w:r>
      <w:r>
        <w:rPr>
          <w:rFonts w:hint="eastAsia" w:ascii="仿宋_GB2312" w:hAnsi="仿宋_GB2312" w:eastAsia="仿宋_GB2312" w:cs="仿宋_GB2312"/>
          <w:b/>
          <w:bCs/>
          <w:sz w:val="32"/>
          <w:szCs w:val="32"/>
        </w:rPr>
        <w:t>乙方的权利和义务</w:t>
      </w:r>
    </w:p>
    <w:p w14:paraId="4B47A147">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1.乙方种植过程中，所产生的一切成本，包括但不限于人工费用、种子费用、肥料费用、水费、电费等，皆有</w:t>
      </w:r>
      <w:r>
        <w:rPr>
          <w:rFonts w:hint="eastAsia" w:hAnsi="仿宋_GB2312" w:cs="仿宋_GB2312"/>
          <w:bCs/>
          <w:color w:val="auto"/>
          <w:sz w:val="32"/>
          <w:szCs w:val="32"/>
          <w:lang w:val="en-US" w:eastAsia="zh-CN"/>
        </w:rPr>
        <w:t>乙方</w:t>
      </w:r>
      <w:r>
        <w:rPr>
          <w:rFonts w:hint="eastAsia" w:ascii="仿宋_GB2312" w:hAnsi="仿宋_GB2312" w:eastAsia="仿宋_GB2312" w:cs="仿宋_GB2312"/>
          <w:bCs/>
          <w:color w:val="auto"/>
          <w:sz w:val="32"/>
          <w:szCs w:val="32"/>
          <w:lang w:val="en-US" w:eastAsia="zh-CN"/>
        </w:rPr>
        <w:t>独自承担。</w:t>
      </w:r>
    </w:p>
    <w:p w14:paraId="12D847CA">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Cs/>
          <w:sz w:val="32"/>
          <w:szCs w:val="32"/>
        </w:rPr>
      </w:pPr>
      <w:r>
        <w:rPr>
          <w:rFonts w:hint="eastAsia" w:hAnsi="仿宋_GB2312" w:cs="仿宋_GB2312"/>
          <w:bCs/>
          <w:sz w:val="32"/>
          <w:szCs w:val="32"/>
          <w:lang w:val="en-US" w:eastAsia="zh-CN"/>
        </w:rPr>
        <w:t>2</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乙方依法享有大棚承包经营的使用、收益权利，有权自主组织果蔬等农业生产经营</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但仅限运营、种植蔬菜相关产业</w:t>
      </w:r>
      <w:r>
        <w:rPr>
          <w:rFonts w:hint="eastAsia" w:ascii="仿宋_GB2312" w:hAnsi="仿宋_GB2312" w:eastAsia="仿宋_GB2312" w:cs="仿宋_GB2312"/>
          <w:bCs/>
          <w:sz w:val="32"/>
          <w:szCs w:val="32"/>
        </w:rPr>
        <w:t>。</w:t>
      </w:r>
    </w:p>
    <w:p w14:paraId="1ACAC054">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Cs/>
          <w:sz w:val="32"/>
          <w:szCs w:val="32"/>
        </w:rPr>
      </w:pPr>
      <w:r>
        <w:rPr>
          <w:rFonts w:hint="eastAsia" w:hAnsi="仿宋_GB2312" w:cs="仿宋_GB2312"/>
          <w:bCs/>
          <w:sz w:val="32"/>
          <w:szCs w:val="32"/>
          <w:lang w:val="en-US" w:eastAsia="zh-CN"/>
        </w:rPr>
        <w:t>3</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乙方有权使用该大棚已有的开展农业生产所必需的水系、道路等设施，但应当做好上述设备设施的保养和维护工作，并自行承担大棚及相关设施的维护、保养、修缮和运行费用。</w:t>
      </w:r>
    </w:p>
    <w:p w14:paraId="287CD3A9">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Cs/>
          <w:color w:val="auto"/>
          <w:sz w:val="32"/>
          <w:szCs w:val="32"/>
        </w:rPr>
      </w:pPr>
      <w:r>
        <w:rPr>
          <w:rFonts w:hint="eastAsia" w:hAnsi="仿宋_GB2312" w:cs="仿宋_GB2312"/>
          <w:bCs/>
          <w:color w:val="auto"/>
          <w:sz w:val="32"/>
          <w:szCs w:val="32"/>
          <w:lang w:val="en-US" w:eastAsia="zh-CN"/>
        </w:rPr>
        <w:t>4</w:t>
      </w:r>
      <w:r>
        <w:rPr>
          <w:rFonts w:hint="eastAsia" w:ascii="仿宋_GB2312" w:hAnsi="仿宋_GB2312" w:eastAsia="仿宋_GB2312" w:cs="仿宋_GB2312"/>
          <w:bCs/>
          <w:color w:val="auto"/>
          <w:sz w:val="32"/>
          <w:szCs w:val="32"/>
          <w:lang w:val="en-US" w:eastAsia="zh-CN"/>
        </w:rPr>
        <w:t>.</w:t>
      </w:r>
      <w:r>
        <w:rPr>
          <w:rFonts w:hint="eastAsia" w:ascii="仿宋_GB2312" w:hAnsi="仿宋_GB2312" w:eastAsia="仿宋_GB2312" w:cs="仿宋_GB2312"/>
          <w:bCs/>
          <w:color w:val="auto"/>
          <w:sz w:val="32"/>
          <w:szCs w:val="32"/>
          <w:lang w:eastAsia="zh-CN"/>
        </w:rPr>
        <w:t>乙方应当按本合同约定及时接收该承包大棚并向甲方足额支付租金；如该大棚被依法征收，征用的，该土地上的青苗补偿费用归乙方所有，地上附属设施及设备</w:t>
      </w:r>
      <w:r>
        <w:rPr>
          <w:rFonts w:hint="eastAsia" w:ascii="仿宋_GB2312" w:hAnsi="仿宋_GB2312" w:eastAsia="仿宋_GB2312" w:cs="仿宋_GB2312"/>
          <w:bCs/>
          <w:color w:val="auto"/>
          <w:sz w:val="32"/>
          <w:szCs w:val="32"/>
          <w:lang w:val="en-US" w:eastAsia="zh-CN"/>
        </w:rPr>
        <w:t>其相应的补偿款归相应权属主体。</w:t>
      </w:r>
    </w:p>
    <w:p w14:paraId="3F06B29C">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Cs/>
          <w:sz w:val="32"/>
          <w:szCs w:val="32"/>
        </w:rPr>
      </w:pPr>
      <w:r>
        <w:rPr>
          <w:rFonts w:hint="eastAsia" w:hAnsi="仿宋_GB2312" w:cs="仿宋_GB2312"/>
          <w:bCs/>
          <w:sz w:val="32"/>
          <w:szCs w:val="32"/>
          <w:lang w:val="en-US" w:eastAsia="zh-CN"/>
        </w:rPr>
        <w:t>5</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乙方可根据自身生产经营需要对承包大棚进行改造、扩建或增加设施，但应征得甲方书面同意，需报有关部门批准的，按照相关规定办理。</w:t>
      </w:r>
    </w:p>
    <w:p w14:paraId="51B1562C">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Cs/>
          <w:sz w:val="32"/>
          <w:szCs w:val="32"/>
        </w:rPr>
      </w:pPr>
      <w:r>
        <w:rPr>
          <w:rFonts w:hint="eastAsia" w:hAnsi="仿宋_GB2312" w:cs="仿宋_GB2312"/>
          <w:bCs/>
          <w:sz w:val="32"/>
          <w:szCs w:val="32"/>
          <w:lang w:val="en-US" w:eastAsia="zh-CN"/>
        </w:rPr>
        <w:t>6</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rPr>
        <w:t>乙方负责在法律法规政策和合同约定允许范围内保护和合理利用该大棚，不得破坏农业综合生产能力和农业生态环境，不得擅自改变生产用途、不得给大棚及附属设施造成永久性损害。</w:t>
      </w:r>
    </w:p>
    <w:p w14:paraId="6D2167D4">
      <w:pPr>
        <w:keepNext w:val="0"/>
        <w:keepLines w:val="0"/>
        <w:pageBreakBefore w:val="0"/>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Cs/>
          <w:sz w:val="32"/>
          <w:szCs w:val="32"/>
          <w:lang w:val="en-US" w:eastAsia="zh-CN"/>
        </w:rPr>
      </w:pPr>
      <w:r>
        <w:rPr>
          <w:rFonts w:hint="eastAsia" w:hAnsi="仿宋_GB2312" w:cs="仿宋_GB2312"/>
          <w:bCs/>
          <w:sz w:val="32"/>
          <w:szCs w:val="32"/>
          <w:lang w:val="en-US" w:eastAsia="zh-CN"/>
        </w:rPr>
        <w:t>7</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eastAsia="zh-CN"/>
        </w:rPr>
        <w:t>乙方</w:t>
      </w:r>
      <w:r>
        <w:rPr>
          <w:rFonts w:hint="eastAsia" w:ascii="仿宋_GB2312" w:hAnsi="仿宋_GB2312" w:eastAsia="仿宋_GB2312" w:cs="仿宋_GB2312"/>
          <w:bCs/>
          <w:sz w:val="32"/>
          <w:szCs w:val="32"/>
        </w:rPr>
        <w:t>承诺严格遵守《中华人民共和国食品安全法》、《中华人民共和国农产品质量安全法》、《农药管理条例》等相关国家法律法规进行基地种植和销售；生产过程中严禁使用禁用农药，避免种植区域内农药漂移，过农药安全间隔期后进行采摘。并承诺提供给</w:t>
      </w:r>
      <w:r>
        <w:rPr>
          <w:rFonts w:hint="eastAsia" w:ascii="仿宋_GB2312" w:hAnsi="仿宋_GB2312" w:eastAsia="仿宋_GB2312" w:cs="仿宋_GB2312"/>
          <w:bCs/>
          <w:sz w:val="32"/>
          <w:szCs w:val="32"/>
          <w:lang w:eastAsia="zh-CN"/>
        </w:rPr>
        <w:t>甲方</w:t>
      </w:r>
      <w:r>
        <w:rPr>
          <w:rFonts w:hint="eastAsia" w:ascii="仿宋_GB2312" w:hAnsi="仿宋_GB2312" w:eastAsia="仿宋_GB2312" w:cs="仿宋_GB2312"/>
          <w:bCs/>
          <w:sz w:val="32"/>
          <w:szCs w:val="32"/>
        </w:rPr>
        <w:t>的果蔬</w:t>
      </w:r>
      <w:r>
        <w:rPr>
          <w:rFonts w:hint="eastAsia" w:ascii="仿宋_GB2312" w:hAnsi="仿宋_GB2312" w:eastAsia="仿宋_GB2312" w:cs="仿宋_GB2312"/>
          <w:bCs/>
          <w:sz w:val="32"/>
          <w:szCs w:val="32"/>
          <w:lang w:eastAsia="zh-CN"/>
        </w:rPr>
        <w:t>蔬菜</w:t>
      </w:r>
      <w:r>
        <w:rPr>
          <w:rFonts w:hint="eastAsia" w:ascii="仿宋_GB2312" w:hAnsi="仿宋_GB2312" w:eastAsia="仿宋_GB2312" w:cs="仿宋_GB2312"/>
          <w:bCs/>
          <w:sz w:val="32"/>
          <w:szCs w:val="32"/>
        </w:rPr>
        <w:t>完全满足国家标准《GB2763-2021食品中农药最大残留限量标准》和《GB 2762-2022 食品安全国家标准食品中污染物限量要求》，且可以溯源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对于任何违背国家法律法规和贵司食品安全要求行为</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给甲方或他人造成损害的，乙方应承担一切责任并赔偿损失，包括但不限于直接损失、间接损失、违约金等，以及追索这些债务而支出的诉讼费、律师费、保全费、保函费、鉴定费等费用。</w:t>
      </w:r>
    </w:p>
    <w:p w14:paraId="6B778F19">
      <w:pPr>
        <w:pStyle w:val="2"/>
        <w:keepNext w:val="0"/>
        <w:keepLines w:val="0"/>
        <w:pageBreakBefore w:val="0"/>
        <w:kinsoku/>
        <w:overflowPunct/>
        <w:topLinePunct w:val="0"/>
        <w:autoSpaceDE/>
        <w:autoSpaceDN/>
        <w:bidi w:val="0"/>
        <w:spacing w:line="520" w:lineRule="exact"/>
        <w:rPr>
          <w:rFonts w:hint="eastAsia" w:hAnsi="仿宋_GB2312" w:cs="仿宋_GB2312"/>
          <w:bCs/>
          <w:sz w:val="32"/>
          <w:szCs w:val="32"/>
          <w:lang w:val="en-US" w:eastAsia="zh-CN"/>
        </w:rPr>
      </w:pPr>
      <w:r>
        <w:rPr>
          <w:rFonts w:hint="eastAsia" w:hAnsi="仿宋_GB2312" w:cs="仿宋_GB2312"/>
          <w:bCs/>
          <w:sz w:val="32"/>
          <w:szCs w:val="32"/>
          <w:lang w:val="en-US" w:eastAsia="zh-CN"/>
        </w:rPr>
        <w:t>8.如甲方有购买大棚蔬菜保险，乙方可经甲方同意后，按其承包面积占甲方保险总面积的比例，向甲方支付蔬菜保险费用，支付费用后，乙方承包部分所产生的保险理赔金归乙方所有。</w:t>
      </w:r>
    </w:p>
    <w:p w14:paraId="693079E1">
      <w:pPr>
        <w:pStyle w:val="2"/>
        <w:keepNext w:val="0"/>
        <w:keepLines w:val="0"/>
        <w:pageBreakBefore w:val="0"/>
        <w:kinsoku/>
        <w:overflowPunct/>
        <w:topLinePunct w:val="0"/>
        <w:autoSpaceDE/>
        <w:autoSpaceDN/>
        <w:bidi w:val="0"/>
        <w:spacing w:line="520" w:lineRule="exact"/>
        <w:rPr>
          <w:rFonts w:hint="eastAsia" w:hAnsi="仿宋_GB2312" w:cs="仿宋_GB2312"/>
          <w:bCs/>
          <w:sz w:val="32"/>
          <w:szCs w:val="32"/>
          <w:lang w:val="en-US" w:eastAsia="zh-CN"/>
        </w:rPr>
      </w:pPr>
      <w:r>
        <w:rPr>
          <w:rFonts w:hint="eastAsia" w:hAnsi="仿宋_GB2312" w:cs="仿宋_GB2312"/>
          <w:bCs/>
          <w:sz w:val="32"/>
          <w:szCs w:val="32"/>
          <w:lang w:val="en-US" w:eastAsia="zh-CN"/>
        </w:rPr>
        <w:t>9.乙方需配合甲方工作要求，做好生活区域及工作区域相关卫生。乙方需在每日20点前将当日用工情况登记表发送给甲方。</w:t>
      </w:r>
    </w:p>
    <w:p w14:paraId="20D27EFA">
      <w:pPr>
        <w:pStyle w:val="2"/>
        <w:keepNext w:val="0"/>
        <w:keepLines w:val="0"/>
        <w:pageBreakBefore w:val="0"/>
        <w:kinsoku/>
        <w:overflowPunct/>
        <w:topLinePunct w:val="0"/>
        <w:autoSpaceDE/>
        <w:autoSpaceDN/>
        <w:bidi w:val="0"/>
        <w:spacing w:line="520" w:lineRule="exact"/>
        <w:rPr>
          <w:rFonts w:hint="eastAsia" w:ascii="仿宋_GB2312" w:hAnsi="仿宋_GB2312" w:eastAsia="仿宋_GB2312" w:cs="仿宋_GB2312"/>
          <w:color w:val="auto"/>
          <w:sz w:val="32"/>
          <w:szCs w:val="32"/>
          <w:highlight w:val="yellow"/>
        </w:rPr>
      </w:pPr>
      <w:r>
        <w:rPr>
          <w:rFonts w:hint="eastAsia" w:hAnsi="仿宋_GB2312" w:cs="仿宋_GB2312"/>
          <w:bCs/>
          <w:sz w:val="32"/>
          <w:szCs w:val="32"/>
          <w:highlight w:val="yellow"/>
          <w:lang w:val="en-US" w:eastAsia="zh-CN"/>
        </w:rPr>
        <w:t>10.</w:t>
      </w:r>
      <w:r>
        <w:rPr>
          <w:rFonts w:hint="eastAsia" w:hAnsi="仿宋_GB2312" w:cs="仿宋_GB2312"/>
          <w:color w:val="auto"/>
          <w:sz w:val="32"/>
          <w:szCs w:val="32"/>
          <w:highlight w:val="yellow"/>
          <w:lang w:val="en-US" w:eastAsia="zh-CN"/>
        </w:rPr>
        <w:t>乙</w:t>
      </w:r>
      <w:r>
        <w:rPr>
          <w:rFonts w:hint="eastAsia" w:ascii="仿宋_GB2312" w:hAnsi="仿宋_GB2312" w:eastAsia="仿宋_GB2312" w:cs="仿宋_GB2312"/>
          <w:color w:val="auto"/>
          <w:sz w:val="32"/>
          <w:szCs w:val="32"/>
          <w:highlight w:val="yellow"/>
        </w:rPr>
        <w:t>方需按照项目应急保供要求完成</w:t>
      </w:r>
      <w:r>
        <w:rPr>
          <w:rFonts w:hint="eastAsia" w:ascii="仿宋_GB2312" w:hAnsi="仿宋_GB2312" w:eastAsia="仿宋_GB2312" w:cs="仿宋_GB2312"/>
          <w:color w:val="auto"/>
          <w:kern w:val="0"/>
          <w:sz w:val="32"/>
          <w:szCs w:val="32"/>
          <w:highlight w:val="yellow"/>
        </w:rPr>
        <w:t>台风季节（8—11月）</w:t>
      </w:r>
      <w:r>
        <w:rPr>
          <w:rFonts w:hint="eastAsia" w:ascii="仿宋_GB2312" w:hAnsi="仿宋_GB2312" w:eastAsia="仿宋_GB2312" w:cs="仿宋_GB2312"/>
          <w:color w:val="auto"/>
          <w:sz w:val="32"/>
          <w:szCs w:val="32"/>
          <w:highlight w:val="yellow"/>
        </w:rPr>
        <w:t>种植计划，优先种植菜心、芥菜、小白菜、上海青等</w:t>
      </w:r>
      <w:r>
        <w:rPr>
          <w:rFonts w:hint="eastAsia" w:ascii="仿宋_GB2312" w:hAnsi="仿宋_GB2312" w:eastAsia="仿宋_GB2312" w:cs="仿宋_GB2312"/>
          <w:color w:val="auto"/>
          <w:kern w:val="0"/>
          <w:sz w:val="32"/>
          <w:szCs w:val="32"/>
          <w:highlight w:val="yellow"/>
        </w:rPr>
        <w:t>“15+N”保供蔬菜品种</w:t>
      </w:r>
      <w:r>
        <w:rPr>
          <w:rFonts w:hint="eastAsia" w:ascii="仿宋_GB2312" w:hAnsi="仿宋_GB2312" w:eastAsia="仿宋_GB2312" w:cs="仿宋_GB2312"/>
          <w:color w:val="auto"/>
          <w:sz w:val="32"/>
          <w:szCs w:val="32"/>
          <w:highlight w:val="yellow"/>
        </w:rPr>
        <w:t>，保障夏秋季节蔬菜稳产供应，在台风、暴雨等极端天气期间，配合</w:t>
      </w:r>
      <w:r>
        <w:rPr>
          <w:rFonts w:hint="eastAsia" w:hAnsi="仿宋_GB2312" w:cs="仿宋_GB2312"/>
          <w:color w:val="auto"/>
          <w:sz w:val="32"/>
          <w:szCs w:val="32"/>
          <w:highlight w:val="yellow"/>
          <w:lang w:val="en-US" w:eastAsia="zh-CN"/>
        </w:rPr>
        <w:t>甲</w:t>
      </w:r>
      <w:r>
        <w:rPr>
          <w:rFonts w:hint="eastAsia" w:ascii="仿宋_GB2312" w:hAnsi="仿宋_GB2312" w:eastAsia="仿宋_GB2312" w:cs="仿宋_GB2312"/>
          <w:color w:val="auto"/>
          <w:sz w:val="32"/>
          <w:szCs w:val="32"/>
          <w:highlight w:val="yellow"/>
        </w:rPr>
        <w:t>方及相关部门做好蔬菜应急采摘、调配工作。</w:t>
      </w:r>
    </w:p>
    <w:p w14:paraId="5ED97C53">
      <w:pPr>
        <w:pStyle w:val="2"/>
        <w:keepNext w:val="0"/>
        <w:keepLines w:val="0"/>
        <w:pageBreakBefore w:val="0"/>
        <w:kinsoku/>
        <w:overflowPunct/>
        <w:topLinePunct w:val="0"/>
        <w:autoSpaceDE/>
        <w:autoSpaceDN/>
        <w:bidi w:val="0"/>
        <w:spacing w:line="520" w:lineRule="exact"/>
        <w:rPr>
          <w:rFonts w:hint="eastAsia" w:ascii="仿宋_GB2312" w:hAnsi="仿宋_GB2312" w:eastAsia="仿宋_GB2312" w:cs="仿宋_GB2312"/>
          <w:color w:val="auto"/>
          <w:sz w:val="32"/>
          <w:szCs w:val="32"/>
          <w:highlight w:val="yellow"/>
          <w:lang w:val="en-US" w:eastAsia="zh-CN"/>
        </w:rPr>
      </w:pPr>
      <w:r>
        <w:rPr>
          <w:rFonts w:hint="eastAsia" w:hAnsi="仿宋_GB2312" w:cs="仿宋_GB2312"/>
          <w:color w:val="auto"/>
          <w:sz w:val="32"/>
          <w:szCs w:val="32"/>
          <w:highlight w:val="yellow"/>
          <w:lang w:val="en-US" w:eastAsia="zh-CN"/>
        </w:rPr>
        <w:t>11.乙方需通过就业务工、技术培训、产销联结等方式，每年累计带动农户数量不少于50户，其中脱贫户监测户不少于20户。</w:t>
      </w:r>
    </w:p>
    <w:p w14:paraId="4F339614">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left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第六条  </w:t>
      </w:r>
      <w:r>
        <w:rPr>
          <w:rFonts w:hint="eastAsia" w:ascii="仿宋_GB2312" w:hAnsi="仿宋_GB2312" w:eastAsia="仿宋_GB2312" w:cs="仿宋_GB2312"/>
          <w:b/>
          <w:bCs/>
          <w:sz w:val="32"/>
          <w:szCs w:val="32"/>
        </w:rPr>
        <w:t>合同变更、解除</w:t>
      </w:r>
    </w:p>
    <w:p w14:paraId="3D449078">
      <w:pPr>
        <w:keepNext w:val="0"/>
        <w:keepLines w:val="0"/>
        <w:pageBreakBefore w:val="0"/>
        <w:kinsoku/>
        <w:wordWrap w:val="0"/>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1.经协商一致，甲乙双方可对本合同进行变更、解除。</w:t>
      </w:r>
    </w:p>
    <w:p w14:paraId="5DA1504A">
      <w:pPr>
        <w:keepNext w:val="0"/>
        <w:keepLines w:val="0"/>
        <w:pageBreakBefore w:val="0"/>
        <w:kinsoku/>
        <w:wordWrap w:val="0"/>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.合同有效期内，因不可抗力导致合同无法继续履行的，当事人可以解除合同；双方应按合同解除日期，结清合同履行期间相关费用。</w:t>
      </w:r>
    </w:p>
    <w:p w14:paraId="1DCF4E74">
      <w:pPr>
        <w:keepNext w:val="0"/>
        <w:keepLines w:val="0"/>
        <w:pageBreakBefore w:val="0"/>
        <w:kinsoku/>
        <w:wordWrap w:val="0"/>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.当事人一方违约导致合同无法履行的，另一方可以解除合同。</w:t>
      </w:r>
    </w:p>
    <w:p w14:paraId="10CE81B9">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left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第七条  </w:t>
      </w:r>
      <w:r>
        <w:rPr>
          <w:rFonts w:hint="eastAsia" w:ascii="仿宋_GB2312" w:hAnsi="仿宋_GB2312" w:eastAsia="仿宋_GB2312" w:cs="仿宋_GB2312"/>
          <w:b/>
          <w:bCs/>
          <w:sz w:val="32"/>
          <w:szCs w:val="32"/>
        </w:rPr>
        <w:t>违约责任</w:t>
      </w:r>
    </w:p>
    <w:p w14:paraId="6E6E6B13">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如乙方在签约45天内，无实际运营动作或消极怠工，则甲方会向乙方发出整改意见，若在甲方发出整改意见15天后，乙方仍未整改，则甲方有权收回所有土地，乙方已投入成本甲方不负责赔偿，且乙方的保证金作为违约金全部扣除，不再退还。</w:t>
      </w:r>
    </w:p>
    <w:p w14:paraId="3502E6D5">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乙方有责任保护好大棚基地的一切设施，如在承包期限到期交付时，乙方交付给甲方的大棚发生损坏，则根据实际损失金额从保证金中扣除相应部分；损失金额大于保证金的部分，需由乙方额外赔付给甲方。</w:t>
      </w:r>
    </w:p>
    <w:p w14:paraId="590A6D93">
      <w:pPr>
        <w:keepNext w:val="0"/>
        <w:keepLines w:val="0"/>
        <w:pageBreakBefore w:val="0"/>
        <w:widowControl/>
        <w:numPr>
          <w:ilvl w:val="0"/>
          <w:numId w:val="0"/>
        </w:numPr>
        <w:kinsoku/>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lang w:eastAsia="zh-CN"/>
        </w:rPr>
        <w:t>甲方逾期交付本合同约定大棚的，每延迟一天，应向乙方支付违约金【以本合同承包总额为基数，按</w:t>
      </w:r>
      <w:r>
        <w:rPr>
          <w:rFonts w:hint="eastAsia" w:hAnsi="仿宋_GB2312" w:cs="仿宋_GB2312"/>
          <w:color w:val="auto"/>
          <w:sz w:val="32"/>
          <w:szCs w:val="32"/>
          <w:lang w:eastAsia="zh-CN"/>
        </w:rPr>
        <w:t>中国人民银行</w:t>
      </w:r>
      <w:r>
        <w:rPr>
          <w:rFonts w:hint="eastAsia" w:ascii="仿宋_GB2312" w:hAnsi="仿宋_GB2312" w:eastAsia="仿宋_GB2312" w:cs="仿宋_GB2312"/>
          <w:color w:val="auto"/>
          <w:sz w:val="32"/>
          <w:szCs w:val="32"/>
          <w:lang w:eastAsia="zh-CN"/>
        </w:rPr>
        <w:t>公布的同期贷款市场报价利率（</w:t>
      </w:r>
      <w:r>
        <w:rPr>
          <w:rFonts w:hint="eastAsia" w:ascii="仿宋_GB2312" w:hAnsi="仿宋_GB2312" w:eastAsia="仿宋_GB2312" w:cs="仿宋_GB2312"/>
          <w:color w:val="auto"/>
          <w:sz w:val="32"/>
          <w:szCs w:val="32"/>
          <w:lang w:val="en-US" w:eastAsia="zh-CN"/>
        </w:rPr>
        <w:t>LPR</w:t>
      </w:r>
      <w:r>
        <w:rPr>
          <w:rFonts w:hint="eastAsia" w:ascii="仿宋_GB2312" w:hAnsi="仿宋_GB2312" w:eastAsia="仿宋_GB2312" w:cs="仿宋_GB2312"/>
          <w:color w:val="auto"/>
          <w:sz w:val="32"/>
          <w:szCs w:val="32"/>
          <w:lang w:eastAsia="zh-CN"/>
        </w:rPr>
        <w:t>）四倍计算】；乙方逾期支付租金的，每延迟一天，应向甲方支付逾期付款利息【以未付租金总额为基数，按</w:t>
      </w:r>
      <w:r>
        <w:rPr>
          <w:rFonts w:hint="eastAsia" w:hAnsi="仿宋_GB2312" w:cs="仿宋_GB2312"/>
          <w:color w:val="auto"/>
          <w:sz w:val="32"/>
          <w:szCs w:val="32"/>
          <w:lang w:eastAsia="zh-CN"/>
        </w:rPr>
        <w:t>中国人民银行</w:t>
      </w:r>
      <w:r>
        <w:rPr>
          <w:rFonts w:hint="eastAsia" w:ascii="仿宋_GB2312" w:hAnsi="仿宋_GB2312" w:eastAsia="仿宋_GB2312" w:cs="仿宋_GB2312"/>
          <w:color w:val="auto"/>
          <w:sz w:val="32"/>
          <w:szCs w:val="32"/>
          <w:lang w:eastAsia="zh-CN"/>
        </w:rPr>
        <w:t>公布的同期贷款市场报价利率（</w:t>
      </w:r>
      <w:r>
        <w:rPr>
          <w:rFonts w:hint="eastAsia" w:ascii="仿宋_GB2312" w:hAnsi="仿宋_GB2312" w:eastAsia="仿宋_GB2312" w:cs="仿宋_GB2312"/>
          <w:color w:val="auto"/>
          <w:sz w:val="32"/>
          <w:szCs w:val="32"/>
          <w:lang w:val="en-US" w:eastAsia="zh-CN"/>
        </w:rPr>
        <w:t>LPR</w:t>
      </w:r>
      <w:r>
        <w:rPr>
          <w:rFonts w:hint="eastAsia" w:ascii="仿宋_GB2312" w:hAnsi="仿宋_GB2312" w:eastAsia="仿宋_GB2312" w:cs="仿宋_GB2312"/>
          <w:color w:val="auto"/>
          <w:sz w:val="32"/>
          <w:szCs w:val="32"/>
          <w:lang w:eastAsia="zh-CN"/>
        </w:rPr>
        <w:t>）四倍计算】。</w:t>
      </w:r>
    </w:p>
    <w:p w14:paraId="3659295F">
      <w:pPr>
        <w:keepNext w:val="0"/>
        <w:keepLines w:val="0"/>
        <w:pageBreakBefore w:val="0"/>
        <w:widowControl/>
        <w:numPr>
          <w:ilvl w:val="0"/>
          <w:numId w:val="0"/>
        </w:numPr>
        <w:kinsoku/>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sz w:val="32"/>
          <w:szCs w:val="32"/>
        </w:rPr>
      </w:pPr>
      <w:r>
        <w:rPr>
          <w:rFonts w:hint="eastAsia" w:hAnsi="仿宋_GB2312" w:cs="仿宋_GB2312"/>
          <w:kern w:val="2"/>
          <w:sz w:val="32"/>
          <w:szCs w:val="32"/>
          <w:lang w:val="en-US" w:eastAsia="zh-CN" w:bidi="ar-SA"/>
        </w:rPr>
        <w:t>4.</w:t>
      </w:r>
      <w:r>
        <w:rPr>
          <w:rFonts w:hint="eastAsia" w:ascii="仿宋_GB2312" w:hAnsi="仿宋_GB2312" w:eastAsia="仿宋_GB2312" w:cs="仿宋_GB2312"/>
          <w:sz w:val="32"/>
          <w:szCs w:val="32"/>
        </w:rPr>
        <w:t>乙方存在下列情形之一的，甲方有权单方无条件解除本合同，并要求乙方支付相当于本合同</w:t>
      </w:r>
      <w:r>
        <w:rPr>
          <w:rFonts w:hint="eastAsia" w:ascii="仿宋_GB2312" w:hAnsi="仿宋_GB2312" w:eastAsia="仿宋_GB2312" w:cs="仿宋_GB2312"/>
          <w:sz w:val="32"/>
          <w:szCs w:val="32"/>
          <w:lang w:eastAsia="zh-CN"/>
        </w:rPr>
        <w:t>租金</w:t>
      </w:r>
      <w:r>
        <w:rPr>
          <w:rFonts w:hint="eastAsia" w:ascii="仿宋_GB2312" w:hAnsi="仿宋_GB2312" w:eastAsia="仿宋_GB2312" w:cs="仿宋_GB2312"/>
          <w:sz w:val="32"/>
          <w:szCs w:val="32"/>
        </w:rPr>
        <w:t>金额20%的违约金</w:t>
      </w:r>
      <w:r>
        <w:rPr>
          <w:rFonts w:hint="eastAsia" w:hAnsi="仿宋_GB2312" w:cs="仿宋_GB2312"/>
          <w:sz w:val="32"/>
          <w:szCs w:val="32"/>
          <w:lang w:val="en-US" w:eastAsia="zh-CN"/>
        </w:rPr>
        <w:t>且保证金不退</w:t>
      </w:r>
      <w:r>
        <w:rPr>
          <w:rFonts w:hint="eastAsia" w:ascii="仿宋_GB2312" w:hAnsi="仿宋_GB2312" w:eastAsia="仿宋_GB2312" w:cs="仿宋_GB2312"/>
          <w:sz w:val="32"/>
          <w:szCs w:val="32"/>
        </w:rPr>
        <w:t>。</w:t>
      </w:r>
    </w:p>
    <w:p w14:paraId="2F73EE32">
      <w:pPr>
        <w:keepNext w:val="0"/>
        <w:keepLines w:val="0"/>
        <w:pageBreakBefore w:val="0"/>
        <w:widowControl/>
        <w:numPr>
          <w:ilvl w:val="0"/>
          <w:numId w:val="0"/>
        </w:numPr>
        <w:kinsoku/>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乙方逾期支付</w:t>
      </w:r>
      <w:r>
        <w:rPr>
          <w:rFonts w:hint="eastAsia" w:ascii="仿宋_GB2312" w:hAnsi="仿宋_GB2312" w:eastAsia="仿宋_GB2312" w:cs="仿宋_GB2312"/>
          <w:sz w:val="32"/>
          <w:szCs w:val="32"/>
          <w:lang w:eastAsia="zh-CN"/>
        </w:rPr>
        <w:t>租金</w:t>
      </w:r>
      <w:r>
        <w:rPr>
          <w:rFonts w:hint="eastAsia" w:ascii="仿宋_GB2312" w:hAnsi="仿宋_GB2312" w:eastAsia="仿宋_GB2312" w:cs="仿宋_GB2312"/>
          <w:sz w:val="32"/>
          <w:szCs w:val="32"/>
        </w:rPr>
        <w:t>超过30日的；</w:t>
      </w:r>
    </w:p>
    <w:p w14:paraId="0E885BC1">
      <w:pPr>
        <w:keepNext w:val="0"/>
        <w:keepLines w:val="0"/>
        <w:pageBreakBefore w:val="0"/>
        <w:widowControl/>
        <w:numPr>
          <w:ilvl w:val="0"/>
          <w:numId w:val="0"/>
        </w:numPr>
        <w:kinsoku/>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乙方擅自将承包大棚转包、转借、转让的；</w:t>
      </w:r>
    </w:p>
    <w:p w14:paraId="4C0A719A">
      <w:pPr>
        <w:pStyle w:val="26"/>
        <w:keepNext w:val="0"/>
        <w:keepLines w:val="0"/>
        <w:pageBreakBefore w:val="0"/>
        <w:widowControl/>
        <w:numPr>
          <w:ilvl w:val="0"/>
          <w:numId w:val="0"/>
        </w:numPr>
        <w:kinsoku/>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乙方未经甲方书面同意私自改变生产用途和结构、破坏水利等基本设施或给大棚及土地资产造成永久性损害的。</w:t>
      </w:r>
    </w:p>
    <w:p w14:paraId="2AA2C879">
      <w:pPr>
        <w:pStyle w:val="26"/>
        <w:keepNext w:val="0"/>
        <w:keepLines w:val="0"/>
        <w:pageBreakBefore w:val="0"/>
        <w:widowControl/>
        <w:numPr>
          <w:ilvl w:val="0"/>
          <w:numId w:val="0"/>
        </w:numPr>
        <w:kinsoku/>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highlight w:val="yellow"/>
          <w:lang w:val="en-US" w:eastAsia="zh-CN"/>
        </w:rPr>
      </w:pPr>
      <w:r>
        <w:rPr>
          <w:rFonts w:hint="eastAsia" w:hAnsi="仿宋_GB2312" w:cs="仿宋_GB2312"/>
          <w:sz w:val="32"/>
          <w:szCs w:val="32"/>
          <w:highlight w:val="yellow"/>
          <w:lang w:eastAsia="zh-CN"/>
        </w:rPr>
        <w:t>（</w:t>
      </w:r>
      <w:r>
        <w:rPr>
          <w:rFonts w:hint="eastAsia" w:hAnsi="仿宋_GB2312" w:cs="仿宋_GB2312"/>
          <w:sz w:val="32"/>
          <w:szCs w:val="32"/>
          <w:highlight w:val="yellow"/>
          <w:lang w:val="en-US" w:eastAsia="zh-CN"/>
        </w:rPr>
        <w:t>4</w:t>
      </w:r>
      <w:r>
        <w:rPr>
          <w:rFonts w:hint="eastAsia" w:hAnsi="仿宋_GB2312" w:cs="仿宋_GB2312"/>
          <w:sz w:val="32"/>
          <w:szCs w:val="32"/>
          <w:highlight w:val="yellow"/>
          <w:lang w:eastAsia="zh-CN"/>
        </w:rPr>
        <w:t>）</w:t>
      </w:r>
      <w:r>
        <w:rPr>
          <w:rFonts w:hint="eastAsia" w:hAnsi="仿宋_GB2312" w:cs="仿宋_GB2312"/>
          <w:color w:val="auto"/>
          <w:sz w:val="32"/>
          <w:szCs w:val="32"/>
          <w:highlight w:val="yellow"/>
          <w:lang w:val="en-US" w:eastAsia="zh-CN"/>
        </w:rPr>
        <w:t>乙</w:t>
      </w:r>
      <w:r>
        <w:rPr>
          <w:rFonts w:hint="eastAsia" w:ascii="仿宋_GB2312" w:hAnsi="仿宋_GB2312" w:eastAsia="仿宋_GB2312" w:cs="仿宋_GB2312"/>
          <w:color w:val="auto"/>
          <w:sz w:val="32"/>
          <w:szCs w:val="32"/>
          <w:highlight w:val="yellow"/>
        </w:rPr>
        <w:t>方</w:t>
      </w:r>
      <w:r>
        <w:rPr>
          <w:rFonts w:hint="eastAsia" w:hAnsi="仿宋_GB2312" w:cs="仿宋_GB2312"/>
          <w:color w:val="auto"/>
          <w:sz w:val="32"/>
          <w:szCs w:val="32"/>
          <w:highlight w:val="yellow"/>
          <w:lang w:val="en-US" w:eastAsia="zh-CN"/>
        </w:rPr>
        <w:t>在</w:t>
      </w:r>
      <w:r>
        <w:rPr>
          <w:rFonts w:hint="eastAsia" w:ascii="仿宋_GB2312" w:hAnsi="仿宋_GB2312" w:eastAsia="仿宋_GB2312" w:cs="仿宋_GB2312"/>
          <w:color w:val="auto"/>
          <w:kern w:val="0"/>
          <w:sz w:val="32"/>
          <w:szCs w:val="32"/>
          <w:highlight w:val="yellow"/>
        </w:rPr>
        <w:t>台风季节（8—11月）</w:t>
      </w:r>
      <w:r>
        <w:rPr>
          <w:rFonts w:hint="eastAsia" w:hAnsi="仿宋_GB2312" w:cs="仿宋_GB2312"/>
          <w:color w:val="auto"/>
          <w:sz w:val="32"/>
          <w:szCs w:val="32"/>
          <w:highlight w:val="yellow"/>
          <w:lang w:val="en-US" w:eastAsia="zh-CN"/>
        </w:rPr>
        <w:t>未</w:t>
      </w:r>
      <w:r>
        <w:rPr>
          <w:rFonts w:hint="eastAsia" w:ascii="仿宋_GB2312" w:hAnsi="仿宋_GB2312" w:eastAsia="仿宋_GB2312" w:cs="仿宋_GB2312"/>
          <w:color w:val="auto"/>
          <w:sz w:val="32"/>
          <w:szCs w:val="32"/>
          <w:highlight w:val="yellow"/>
        </w:rPr>
        <w:t>按照</w:t>
      </w:r>
      <w:r>
        <w:rPr>
          <w:rFonts w:hint="eastAsia" w:hAnsi="仿宋_GB2312" w:cs="仿宋_GB2312"/>
          <w:color w:val="auto"/>
          <w:sz w:val="32"/>
          <w:szCs w:val="32"/>
          <w:highlight w:val="yellow"/>
          <w:lang w:val="en-US" w:eastAsia="zh-CN"/>
        </w:rPr>
        <w:t>合同要求</w:t>
      </w:r>
      <w:r>
        <w:rPr>
          <w:rFonts w:hint="eastAsia" w:ascii="仿宋_GB2312" w:hAnsi="仿宋_GB2312" w:eastAsia="仿宋_GB2312" w:cs="仿宋_GB2312"/>
          <w:color w:val="auto"/>
          <w:sz w:val="32"/>
          <w:szCs w:val="32"/>
          <w:highlight w:val="yellow"/>
        </w:rPr>
        <w:t>种植</w:t>
      </w:r>
      <w:r>
        <w:rPr>
          <w:rFonts w:hint="eastAsia" w:ascii="仿宋_GB2312" w:hAnsi="仿宋_GB2312" w:eastAsia="仿宋_GB2312" w:cs="仿宋_GB2312"/>
          <w:color w:val="auto"/>
          <w:kern w:val="0"/>
          <w:sz w:val="32"/>
          <w:szCs w:val="32"/>
          <w:highlight w:val="yellow"/>
        </w:rPr>
        <w:t>“15+N”保供蔬菜品种</w:t>
      </w:r>
      <w:r>
        <w:rPr>
          <w:rFonts w:hint="eastAsia" w:hAnsi="仿宋_GB2312" w:cs="仿宋_GB2312"/>
          <w:color w:val="auto"/>
          <w:kern w:val="0"/>
          <w:sz w:val="32"/>
          <w:szCs w:val="32"/>
          <w:highlight w:val="yellow"/>
          <w:lang w:val="en-US" w:eastAsia="zh-CN"/>
        </w:rPr>
        <w:t>的。</w:t>
      </w:r>
    </w:p>
    <w:p w14:paraId="08479446">
      <w:pPr>
        <w:keepNext w:val="0"/>
        <w:keepLines w:val="0"/>
        <w:pageBreakBefore w:val="0"/>
        <w:widowControl/>
        <w:numPr>
          <w:ilvl w:val="0"/>
          <w:numId w:val="0"/>
        </w:numPr>
        <w:kinsoku/>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sz w:val="32"/>
          <w:szCs w:val="32"/>
        </w:rPr>
      </w:pPr>
      <w:r>
        <w:rPr>
          <w:rFonts w:hint="eastAsia" w:hAnsi="仿宋_GB2312" w:cs="仿宋_GB2312"/>
          <w:kern w:val="2"/>
          <w:sz w:val="32"/>
          <w:szCs w:val="32"/>
          <w:lang w:val="en-US" w:eastAsia="zh-CN" w:bidi="ar-SA"/>
        </w:rPr>
        <w:t>5.</w:t>
      </w:r>
      <w:r>
        <w:rPr>
          <w:rFonts w:hint="eastAsia" w:ascii="仿宋_GB2312" w:hAnsi="仿宋_GB2312" w:eastAsia="仿宋_GB2312" w:cs="仿宋_GB2312"/>
          <w:sz w:val="32"/>
          <w:szCs w:val="32"/>
        </w:rPr>
        <w:t>甲方存在下列情形之一的，乙方有权单方解除本合同并要求甲方支付相当于本合同</w:t>
      </w:r>
      <w:r>
        <w:rPr>
          <w:rFonts w:hint="eastAsia" w:ascii="仿宋_GB2312" w:hAnsi="仿宋_GB2312" w:eastAsia="仿宋_GB2312" w:cs="仿宋_GB2312"/>
          <w:sz w:val="32"/>
          <w:szCs w:val="32"/>
          <w:lang w:eastAsia="zh-CN"/>
        </w:rPr>
        <w:t>租金</w:t>
      </w:r>
      <w:r>
        <w:rPr>
          <w:rFonts w:hint="eastAsia" w:ascii="仿宋_GB2312" w:hAnsi="仿宋_GB2312" w:eastAsia="仿宋_GB2312" w:cs="仿宋_GB2312"/>
          <w:sz w:val="32"/>
          <w:szCs w:val="32"/>
        </w:rPr>
        <w:t>总额20%的违约金，由此造成损失的，由甲方据实赔偿：</w:t>
      </w:r>
    </w:p>
    <w:p w14:paraId="31465A6F">
      <w:pPr>
        <w:keepNext w:val="0"/>
        <w:keepLines w:val="0"/>
        <w:pageBreakBefore w:val="0"/>
        <w:widowControl/>
        <w:numPr>
          <w:ilvl w:val="0"/>
          <w:numId w:val="0"/>
        </w:numPr>
        <w:kinsoku/>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甲方发包大棚的手续不合法或大棚经营权属不清，产生权属纠纷或其他经济纠纷，致使合同全部或部分不能履行；</w:t>
      </w:r>
    </w:p>
    <w:p w14:paraId="34A61B5F">
      <w:pPr>
        <w:keepNext w:val="0"/>
        <w:keepLines w:val="0"/>
        <w:pageBreakBefore w:val="0"/>
        <w:widowControl/>
        <w:numPr>
          <w:ilvl w:val="0"/>
          <w:numId w:val="0"/>
        </w:numPr>
        <w:kinsoku/>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甲方违反合同约定擅自干涉和妨碍乙方的生产经营</w:t>
      </w:r>
      <w:r>
        <w:rPr>
          <w:rFonts w:hint="eastAsia" w:hAnsi="仿宋_GB2312" w:cs="仿宋_GB2312"/>
          <w:sz w:val="32"/>
          <w:szCs w:val="32"/>
          <w:lang w:eastAsia="zh-CN"/>
        </w:rPr>
        <w:t>，</w:t>
      </w:r>
      <w:r>
        <w:rPr>
          <w:rFonts w:hint="eastAsia" w:ascii="仿宋_GB2312" w:hAnsi="仿宋_GB2312" w:eastAsia="仿宋_GB2312" w:cs="仿宋_GB2312"/>
          <w:sz w:val="32"/>
          <w:szCs w:val="32"/>
        </w:rPr>
        <w:t>致使乙方无法进行正常的生产经营活动的；</w:t>
      </w:r>
    </w:p>
    <w:p w14:paraId="4E1F82D1">
      <w:pPr>
        <w:keepNext w:val="0"/>
        <w:keepLines w:val="0"/>
        <w:pageBreakBefore w:val="0"/>
        <w:widowControl/>
        <w:numPr>
          <w:ilvl w:val="0"/>
          <w:numId w:val="0"/>
        </w:numPr>
        <w:kinsoku/>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甲方逾期交付大棚超过30日的。</w:t>
      </w:r>
    </w:p>
    <w:p w14:paraId="18CA9779">
      <w:pPr>
        <w:pStyle w:val="7"/>
        <w:keepNext w:val="0"/>
        <w:keepLines w:val="0"/>
        <w:pageBreakBefore w:val="0"/>
        <w:kinsoku/>
        <w:overflowPunct/>
        <w:topLinePunct w:val="0"/>
        <w:autoSpaceDE/>
        <w:autoSpaceDN/>
        <w:bidi w:val="0"/>
        <w:adjustRightInd w:val="0"/>
        <w:spacing w:line="520" w:lineRule="exact"/>
        <w:ind w:left="0" w:leftChars="0" w:firstLine="632"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6.本合同履行过程中，因一方违约，守约方为维护自己的合法权益所产生的案件受理费、律师费、交通费、评估费、鉴定费、保全申请费、保函费等均由违约一方承担。</w:t>
      </w:r>
    </w:p>
    <w:p w14:paraId="1C13F06C">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第八条  </w:t>
      </w:r>
      <w:r>
        <w:rPr>
          <w:rFonts w:hint="eastAsia" w:ascii="仿宋_GB2312" w:hAnsi="仿宋_GB2312" w:eastAsia="仿宋_GB2312" w:cs="仿宋_GB2312"/>
          <w:b/>
          <w:bCs/>
          <w:sz w:val="32"/>
          <w:szCs w:val="32"/>
        </w:rPr>
        <w:t>纠纷解决方式</w:t>
      </w:r>
    </w:p>
    <w:p w14:paraId="25CAD3DD">
      <w:pPr>
        <w:keepNext w:val="0"/>
        <w:keepLines w:val="0"/>
        <w:pageBreakBefore w:val="0"/>
        <w:widowControl/>
        <w:kinsoku/>
        <w:wordWrap w:val="0"/>
        <w:overflowPunct/>
        <w:topLinePunct w:val="0"/>
        <w:autoSpaceDE/>
        <w:autoSpaceDN/>
        <w:bidi w:val="0"/>
        <w:adjustRightInd w:val="0"/>
        <w:snapToGrid w:val="0"/>
        <w:spacing w:line="520" w:lineRule="exact"/>
        <w:ind w:left="0" w:leftChars="0" w:firstLine="632"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甲乙双方发生纠纷，可以协商解决</w:t>
      </w:r>
      <w:r>
        <w:rPr>
          <w:rFonts w:hint="eastAsia" w:ascii="仿宋_GB2312" w:hAnsi="仿宋_GB2312" w:eastAsia="仿宋_GB2312" w:cs="仿宋_GB2312"/>
          <w:color w:val="auto"/>
          <w:sz w:val="32"/>
          <w:szCs w:val="32"/>
          <w:lang w:eastAsia="zh-CN"/>
        </w:rPr>
        <w:t>。当事人不愿协商、调解或者协商、调解不成的，双方均可以直接向定安县人民法院诉请解决。</w:t>
      </w:r>
    </w:p>
    <w:p w14:paraId="7B927CC2">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第九条  </w:t>
      </w:r>
      <w:r>
        <w:rPr>
          <w:rFonts w:hint="eastAsia" w:ascii="仿宋_GB2312" w:hAnsi="仿宋_GB2312" w:eastAsia="仿宋_GB2312" w:cs="仿宋_GB2312"/>
          <w:b/>
          <w:bCs/>
          <w:sz w:val="32"/>
          <w:szCs w:val="32"/>
        </w:rPr>
        <w:t>特别约定</w:t>
      </w:r>
    </w:p>
    <w:p w14:paraId="06F72E75">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承包合同生效后，不因承办人或者负责人的变动而变更或者解除，也不因集体经济组织的分立或者合并而变更或者解除。</w:t>
      </w:r>
    </w:p>
    <w:p w14:paraId="79944650">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本合同未尽事宜，甲乙双方另行签订书面补充协议，补充协议与本合同具有同等效力。</w:t>
      </w:r>
    </w:p>
    <w:p w14:paraId="1B1C401D">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第十条  </w:t>
      </w:r>
      <w:r>
        <w:rPr>
          <w:rFonts w:hint="eastAsia" w:ascii="仿宋_GB2312" w:hAnsi="仿宋_GB2312" w:eastAsia="仿宋_GB2312" w:cs="仿宋_GB2312"/>
          <w:b/>
          <w:bCs/>
          <w:sz w:val="32"/>
          <w:szCs w:val="32"/>
        </w:rPr>
        <w:t>其他约定</w:t>
      </w:r>
    </w:p>
    <w:p w14:paraId="46A22B06">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双方同意以本合同首部所载联系人和联系方式为双方指定联系、送达方式，一方拟变更上述联系信息的，应当提前5天书面通知对方；否则，视同上述联系信息未变更，另一方将相关文件、资料、信息发送到上述电子邮箱或通讯地址即视为已送达。</w:t>
      </w:r>
    </w:p>
    <w:p w14:paraId="3D221106">
      <w:pPr>
        <w:keepNext w:val="0"/>
        <w:keepLines w:val="0"/>
        <w:pageBreakBefore w:val="0"/>
        <w:widowControl/>
        <w:numPr>
          <w:ilvl w:val="0"/>
          <w:numId w:val="0"/>
        </w:numPr>
        <w:kinsoku/>
        <w:wordWrap w:val="0"/>
        <w:overflowPunct/>
        <w:topLinePunct w:val="0"/>
        <w:autoSpaceDE/>
        <w:autoSpaceDN/>
        <w:bidi w:val="0"/>
        <w:adjustRightInd w:val="0"/>
        <w:snapToGrid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本合同一式</w:t>
      </w:r>
      <w:r>
        <w:rPr>
          <w:rFonts w:hint="eastAsia" w:hAnsi="仿宋_GB2312" w:cs="仿宋_GB2312"/>
          <w:sz w:val="32"/>
          <w:szCs w:val="32"/>
          <w:lang w:val="en-US" w:eastAsia="zh-CN"/>
        </w:rPr>
        <w:t>肆</w:t>
      </w:r>
      <w:r>
        <w:rPr>
          <w:rFonts w:hint="eastAsia" w:ascii="仿宋_GB2312" w:hAnsi="仿宋_GB2312" w:eastAsia="仿宋_GB2312" w:cs="仿宋_GB2312"/>
          <w:sz w:val="32"/>
          <w:szCs w:val="32"/>
        </w:rPr>
        <w:t>份，甲</w:t>
      </w:r>
      <w:r>
        <w:rPr>
          <w:rFonts w:hint="eastAsia" w:hAnsi="仿宋_GB2312" w:cs="仿宋_GB2312"/>
          <w:sz w:val="32"/>
          <w:szCs w:val="32"/>
          <w:lang w:val="en-US" w:eastAsia="zh-CN"/>
        </w:rPr>
        <w:t>方</w:t>
      </w:r>
      <w:r>
        <w:rPr>
          <w:rFonts w:hint="eastAsia" w:ascii="仿宋_GB2312" w:hAnsi="仿宋_GB2312" w:eastAsia="仿宋_GB2312" w:cs="仿宋_GB2312"/>
          <w:sz w:val="32"/>
          <w:szCs w:val="32"/>
        </w:rPr>
        <w:t>执</w:t>
      </w:r>
      <w:r>
        <w:rPr>
          <w:rFonts w:hint="eastAsia" w:hAnsi="仿宋_GB2312" w:cs="仿宋_GB2312"/>
          <w:sz w:val="32"/>
          <w:szCs w:val="32"/>
          <w:lang w:val="en-US" w:eastAsia="zh-CN"/>
        </w:rPr>
        <w:t>叁</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rPr>
        <w:t>乙</w:t>
      </w:r>
      <w:r>
        <w:rPr>
          <w:rFonts w:hint="eastAsia" w:ascii="仿宋_GB2312" w:hAnsi="仿宋_GB2312" w:eastAsia="仿宋_GB2312" w:cs="仿宋_GB2312"/>
          <w:sz w:val="32"/>
          <w:szCs w:val="32"/>
          <w:lang w:val="en-US" w:eastAsia="zh-CN"/>
        </w:rPr>
        <w:t>方</w:t>
      </w:r>
      <w:r>
        <w:rPr>
          <w:rFonts w:hint="eastAsia" w:ascii="仿宋_GB2312" w:hAnsi="仿宋_GB2312" w:eastAsia="仿宋_GB2312" w:cs="仿宋_GB2312"/>
          <w:sz w:val="32"/>
          <w:szCs w:val="32"/>
        </w:rPr>
        <w:t>执</w:t>
      </w:r>
      <w:r>
        <w:rPr>
          <w:rFonts w:hint="eastAsia" w:hAnsi="仿宋_GB2312" w:cs="仿宋_GB2312"/>
          <w:sz w:val="32"/>
          <w:szCs w:val="32"/>
          <w:lang w:val="en-US" w:eastAsia="zh-CN"/>
        </w:rPr>
        <w:t>壹</w:t>
      </w:r>
      <w:r>
        <w:rPr>
          <w:rFonts w:hint="eastAsia" w:ascii="仿宋_GB2312" w:hAnsi="仿宋_GB2312" w:eastAsia="仿宋_GB2312" w:cs="仿宋_GB2312"/>
          <w:sz w:val="32"/>
          <w:szCs w:val="32"/>
        </w:rPr>
        <w:t>份。双方签字盖章（即自然人主体签字、法人主体盖章）有效。</w:t>
      </w:r>
    </w:p>
    <w:p w14:paraId="0B326C7D">
      <w:pPr>
        <w:keepNext w:val="0"/>
        <w:keepLines w:val="0"/>
        <w:pageBreakBefore w:val="0"/>
        <w:widowControl/>
        <w:kinsoku/>
        <w:wordWrap w:val="0"/>
        <w:overflowPunct/>
        <w:topLinePunct w:val="0"/>
        <w:autoSpaceDE/>
        <w:autoSpaceDN/>
        <w:bidi w:val="0"/>
        <w:adjustRightInd w:val="0"/>
        <w:snapToGrid w:val="0"/>
        <w:spacing w:line="520" w:lineRule="exact"/>
        <w:ind w:left="0"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（本页以下无正文）</w:t>
      </w:r>
    </w:p>
    <w:p w14:paraId="1CE4E58F">
      <w:pPr>
        <w:pStyle w:val="2"/>
        <w:rPr>
          <w:rFonts w:hint="eastAsia" w:ascii="仿宋_GB2312" w:hAnsi="仿宋_GB2312" w:eastAsia="仿宋_GB2312" w:cs="仿宋_GB2312"/>
          <w:sz w:val="32"/>
          <w:szCs w:val="32"/>
        </w:rPr>
      </w:pPr>
    </w:p>
    <w:p w14:paraId="0CC93B29">
      <w:pPr>
        <w:pStyle w:val="2"/>
        <w:rPr>
          <w:rFonts w:hint="eastAsia" w:ascii="仿宋_GB2312" w:hAnsi="仿宋_GB2312" w:eastAsia="仿宋_GB2312" w:cs="仿宋_GB2312"/>
          <w:sz w:val="32"/>
          <w:szCs w:val="32"/>
        </w:rPr>
      </w:pPr>
    </w:p>
    <w:p w14:paraId="52D102EE">
      <w:pPr>
        <w:pStyle w:val="2"/>
        <w:ind w:left="0" w:leftChars="0" w:firstLine="0" w:firstLineChars="0"/>
        <w:rPr>
          <w:rFonts w:hint="eastAsia" w:ascii="仿宋_GB2312" w:hAnsi="仿宋_GB2312" w:eastAsia="仿宋_GB2312" w:cs="仿宋_GB2312"/>
          <w:sz w:val="32"/>
          <w:szCs w:val="32"/>
        </w:rPr>
      </w:pPr>
    </w:p>
    <w:p w14:paraId="76EE8FEE">
      <w:pPr>
        <w:pStyle w:val="2"/>
        <w:keepNext w:val="0"/>
        <w:keepLines w:val="0"/>
        <w:pageBreakBefore w:val="0"/>
        <w:kinsoku/>
        <w:overflowPunct/>
        <w:topLinePunct w:val="0"/>
        <w:autoSpaceDE/>
        <w:autoSpaceDN/>
        <w:bidi w:val="0"/>
        <w:spacing w:line="520" w:lineRule="exact"/>
        <w:ind w:left="0" w:leftChars="0" w:firstLine="0" w:firstLineChars="0"/>
        <w:rPr>
          <w:rFonts w:hint="eastAsia" w:ascii="仿宋_GB2312" w:hAnsi="仿宋_GB2312" w:eastAsia="仿宋_GB2312" w:cs="仿宋_GB2312"/>
          <w:sz w:val="32"/>
          <w:szCs w:val="32"/>
        </w:rPr>
      </w:pPr>
    </w:p>
    <w:p w14:paraId="2530060E">
      <w:pPr>
        <w:pStyle w:val="2"/>
        <w:keepNext w:val="0"/>
        <w:keepLines w:val="0"/>
        <w:pageBreakBefore w:val="0"/>
        <w:kinsoku/>
        <w:overflowPunct/>
        <w:topLinePunct w:val="0"/>
        <w:autoSpaceDE/>
        <w:autoSpaceDN/>
        <w:bidi w:val="0"/>
        <w:spacing w:line="520" w:lineRule="exact"/>
        <w:ind w:left="0" w:leftChars="0" w:firstLine="0" w:firstLineChars="0"/>
        <w:rPr>
          <w:rFonts w:hint="eastAsia" w:ascii="仿宋_GB2312" w:hAnsi="仿宋_GB2312" w:eastAsia="仿宋_GB2312" w:cs="仿宋_GB2312"/>
          <w:sz w:val="32"/>
          <w:szCs w:val="32"/>
        </w:rPr>
      </w:pPr>
    </w:p>
    <w:p w14:paraId="4DF99D28">
      <w:pPr>
        <w:pStyle w:val="2"/>
        <w:keepNext w:val="0"/>
        <w:keepLines w:val="0"/>
        <w:pageBreakBefore w:val="0"/>
        <w:kinsoku/>
        <w:overflowPunct/>
        <w:topLinePunct w:val="0"/>
        <w:autoSpaceDE/>
        <w:autoSpaceDN/>
        <w:bidi w:val="0"/>
        <w:spacing w:line="520" w:lineRule="exact"/>
        <w:ind w:left="0" w:leftChars="0" w:firstLine="0" w:firstLineChars="0"/>
        <w:rPr>
          <w:rFonts w:hint="eastAsia" w:ascii="仿宋_GB2312" w:hAnsi="仿宋_GB2312" w:eastAsia="仿宋_GB2312" w:cs="仿宋_GB2312"/>
          <w:sz w:val="32"/>
          <w:szCs w:val="32"/>
        </w:rPr>
      </w:pPr>
    </w:p>
    <w:p w14:paraId="5DEC2C21">
      <w:pPr>
        <w:pStyle w:val="2"/>
        <w:keepNext w:val="0"/>
        <w:keepLines w:val="0"/>
        <w:pageBreakBefore w:val="0"/>
        <w:kinsoku/>
        <w:overflowPunct/>
        <w:topLinePunct w:val="0"/>
        <w:autoSpaceDE/>
        <w:autoSpaceDN/>
        <w:bidi w:val="0"/>
        <w:spacing w:line="520" w:lineRule="exact"/>
        <w:ind w:left="0" w:leftChars="0" w:firstLine="0" w:firstLineChars="0"/>
        <w:rPr>
          <w:rFonts w:hint="eastAsia" w:ascii="仿宋_GB2312" w:hAnsi="仿宋_GB2312" w:eastAsia="仿宋_GB2312" w:cs="仿宋_GB2312"/>
          <w:sz w:val="32"/>
          <w:szCs w:val="32"/>
        </w:rPr>
      </w:pPr>
    </w:p>
    <w:p w14:paraId="14251CA5">
      <w:pPr>
        <w:keepNext w:val="0"/>
        <w:keepLines w:val="0"/>
        <w:pageBreakBefore w:val="0"/>
        <w:kinsoku/>
        <w:overflowPunct/>
        <w:topLinePunct w:val="0"/>
        <w:autoSpaceDE/>
        <w:autoSpaceDN/>
        <w:bidi w:val="0"/>
        <w:spacing w:line="520" w:lineRule="exact"/>
        <w:ind w:firstLine="63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甲方（盖章）：</w:t>
      </w:r>
    </w:p>
    <w:p w14:paraId="69408FE9">
      <w:pPr>
        <w:keepNext w:val="0"/>
        <w:keepLines w:val="0"/>
        <w:pageBreakBefore w:val="0"/>
        <w:kinsoku/>
        <w:overflowPunct/>
        <w:topLinePunct w:val="0"/>
        <w:autoSpaceDE/>
        <w:autoSpaceDN/>
        <w:bidi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法定代表人/授权代表（签字）：</w:t>
      </w:r>
    </w:p>
    <w:p w14:paraId="3F3541E0">
      <w:pPr>
        <w:keepNext w:val="0"/>
        <w:keepLines w:val="0"/>
        <w:pageBreakBefore w:val="0"/>
        <w:kinsoku/>
        <w:overflowPunct/>
        <w:topLinePunct w:val="0"/>
        <w:autoSpaceDE/>
        <w:autoSpaceDN/>
        <w:bidi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签署日期：</w:t>
      </w:r>
    </w:p>
    <w:p w14:paraId="2FD356CB">
      <w:pPr>
        <w:pStyle w:val="2"/>
        <w:keepNext w:val="0"/>
        <w:keepLines w:val="0"/>
        <w:pageBreakBefore w:val="0"/>
        <w:kinsoku/>
        <w:overflowPunct/>
        <w:topLinePunct w:val="0"/>
        <w:autoSpaceDE/>
        <w:autoSpaceDN/>
        <w:bidi w:val="0"/>
        <w:spacing w:line="520" w:lineRule="exact"/>
        <w:rPr>
          <w:rFonts w:hint="eastAsia"/>
        </w:rPr>
      </w:pPr>
    </w:p>
    <w:p w14:paraId="77B7CE85">
      <w:pPr>
        <w:pStyle w:val="2"/>
        <w:keepNext w:val="0"/>
        <w:keepLines w:val="0"/>
        <w:pageBreakBefore w:val="0"/>
        <w:kinsoku/>
        <w:overflowPunct/>
        <w:topLinePunct w:val="0"/>
        <w:autoSpaceDE/>
        <w:autoSpaceDN/>
        <w:bidi w:val="0"/>
        <w:spacing w:line="520" w:lineRule="exact"/>
        <w:rPr>
          <w:rFonts w:hint="eastAsia"/>
        </w:rPr>
      </w:pPr>
    </w:p>
    <w:p w14:paraId="01B3586C">
      <w:pPr>
        <w:keepNext w:val="0"/>
        <w:keepLines w:val="0"/>
        <w:pageBreakBefore w:val="0"/>
        <w:kinsoku/>
        <w:overflowPunct/>
        <w:topLinePunct w:val="0"/>
        <w:autoSpaceDE/>
        <w:autoSpaceDN/>
        <w:bidi w:val="0"/>
        <w:spacing w:line="520" w:lineRule="exact"/>
        <w:ind w:firstLine="632"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乙方（盖章）：</w:t>
      </w:r>
    </w:p>
    <w:p w14:paraId="47964196">
      <w:pPr>
        <w:keepNext w:val="0"/>
        <w:keepLines w:val="0"/>
        <w:pageBreakBefore w:val="0"/>
        <w:kinsoku/>
        <w:overflowPunct/>
        <w:topLinePunct w:val="0"/>
        <w:autoSpaceDE/>
        <w:autoSpaceDN/>
        <w:bidi w:val="0"/>
        <w:spacing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法定代表人/授权代表（签字）：</w:t>
      </w:r>
    </w:p>
    <w:p w14:paraId="5F40C5D2">
      <w:pPr>
        <w:pStyle w:val="2"/>
        <w:keepNext w:val="0"/>
        <w:keepLines w:val="0"/>
        <w:pageBreakBefore w:val="0"/>
        <w:kinsoku/>
        <w:overflowPunct/>
        <w:topLinePunct w:val="0"/>
        <w:autoSpaceDE/>
        <w:autoSpaceDN/>
        <w:bidi w:val="0"/>
        <w:spacing w:line="520" w:lineRule="exact"/>
        <w:rPr>
          <w:rFonts w:hint="eastAsia"/>
        </w:rPr>
      </w:pPr>
    </w:p>
    <w:p w14:paraId="13077A9A">
      <w:pPr>
        <w:pStyle w:val="15"/>
        <w:keepNext w:val="0"/>
        <w:keepLines w:val="0"/>
        <w:pageBreakBefore w:val="0"/>
        <w:kinsoku/>
        <w:overflowPunct/>
        <w:topLinePunct w:val="0"/>
        <w:autoSpaceDE/>
        <w:autoSpaceDN/>
        <w:bidi w:val="0"/>
        <w:spacing w:before="0" w:beforeAutospacing="0" w:after="0" w:afterAutospacing="0" w:line="52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签署日期：</w:t>
      </w:r>
    </w:p>
    <w:sectPr>
      <w:headerReference r:id="rId3" w:type="default"/>
      <w:footerReference r:id="rId5" w:type="default"/>
      <w:headerReference r:id="rId4" w:type="even"/>
      <w:footerReference r:id="rId6" w:type="even"/>
      <w:pgSz w:w="11907" w:h="16840"/>
      <w:pgMar w:top="2098" w:right="1474" w:bottom="1985" w:left="1588" w:header="0" w:footer="1418" w:gutter="0"/>
      <w:pgNumType w:fmt="numberInDash"/>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E140B88F-C5EB-414D-9582-F20E3C9592C1}"/>
  </w:font>
  <w:font w:name="宋体">
    <w:panose1 w:val="02010600030101010101"/>
    <w:charset w:val="7A"/>
    <w:family w:val="auto"/>
    <w:pitch w:val="default"/>
    <w:sig w:usb0="00000203" w:usb1="288F0000" w:usb2="00000006" w:usb3="00000000" w:csb0="00040001" w:csb1="00000000"/>
    <w:embedRegular r:id="rId2" w:fontKey="{0E882A98-8B14-41D6-936A-F2ADA1256150}"/>
  </w:font>
  <w:font w:name="Wingdings">
    <w:panose1 w:val="05000000000000000000"/>
    <w:charset w:val="02"/>
    <w:family w:val="auto"/>
    <w:pitch w:val="default"/>
    <w:sig w:usb0="00000000" w:usb1="00000000" w:usb2="00000000" w:usb3="00000000" w:csb0="80000000" w:csb1="00000000"/>
    <w:embedRegular r:id="rId3" w:fontKey="{B9D722E9-A82A-4BF8-B05F-11B452518230}"/>
  </w:font>
  <w:font w:name="Arial">
    <w:panose1 w:val="020B0604020202020204"/>
    <w:charset w:val="01"/>
    <w:family w:val="swiss"/>
    <w:pitch w:val="default"/>
    <w:sig w:usb0="E0002EFF" w:usb1="C000785B" w:usb2="00000009" w:usb3="00000000" w:csb0="400001FF" w:csb1="FFFF0000"/>
    <w:embedRegular r:id="rId4" w:fontKey="{B83BC17B-2502-4E86-B69B-3DC08D54D2C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0BC38F03-B666-4C0A-9414-D156F2625877}"/>
  </w:font>
  <w:font w:name="Symbol">
    <w:panose1 w:val="05050102010706020507"/>
    <w:charset w:val="02"/>
    <w:family w:val="roman"/>
    <w:pitch w:val="default"/>
    <w:sig w:usb0="00000000" w:usb1="00000000" w:usb2="00000000" w:usb3="00000000" w:csb0="80000000" w:csb1="00000000"/>
    <w:embedRegular r:id="rId6" w:fontKey="{E111B08B-EBB2-4F53-BA21-04ABA78C792B}"/>
  </w:font>
  <w:font w:name="Calibri">
    <w:panose1 w:val="020F0502020204030204"/>
    <w:charset w:val="00"/>
    <w:family w:val="swiss"/>
    <w:pitch w:val="default"/>
    <w:sig w:usb0="E4002EFF" w:usb1="C000247B" w:usb2="00000009" w:usb3="00000000" w:csb0="200001FF" w:csb1="00000000"/>
    <w:embedRegular r:id="rId7" w:fontKey="{4068AF95-C8A6-410F-83F7-8AC69967BBA7}"/>
  </w:font>
  <w:font w:name="仿宋_GB2312">
    <w:panose1 w:val="02010609030101010101"/>
    <w:charset w:val="86"/>
    <w:family w:val="modern"/>
    <w:pitch w:val="default"/>
    <w:sig w:usb0="00000001" w:usb1="080E0000" w:usb2="00000000" w:usb3="00000000" w:csb0="00040000" w:csb1="00000000"/>
    <w:embedRegular r:id="rId8" w:fontKey="{D232D890-0F88-40EB-8623-5F5042727B91}"/>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9" w:fontKey="{BA871038-6E14-42C9-9818-59BF9A0837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F3761">
    <w:pPr>
      <w:pStyle w:val="12"/>
      <w:jc w:val="right"/>
      <w:rPr>
        <w:sz w:val="28"/>
      </w:rPr>
    </w:pPr>
    <w:r>
      <w:rPr>
        <w:sz w:val="2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624217">
                          <w:pPr>
                            <w:pStyle w:val="12"/>
                          </w:pPr>
                          <w:r>
                            <w:fldChar w:fldCharType="begin"/>
                          </w:r>
                          <w:r>
                            <w:instrText xml:space="preserve"> PAGE  \* MERGEFORMAT </w:instrText>
                          </w:r>
                          <w:r>
                            <w:fldChar w:fldCharType="separate"/>
                          </w:r>
                          <w:r>
                            <w:t>- 1 -</w:t>
                          </w:r>
                          <w:r>
                            <w:fldChar w:fldCharType="end"/>
                          </w:r>
                        </w:p>
                      </w:txbxContent>
                    </wps:txbx>
                    <wps:bodyPr vert="horz" wrap="none" lIns="0" tIns="0" rIns="0" bIns="0" anchor="t">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hhl1t8kBAACSAwAADgAAAAAAAAABACAAAAAfAQAAZHJzL2Uyb0Rv&#10;Yy54bWxQSwUGAAAAAAYABgBZAQAAWgUAAAAA&#10;">
              <v:fill on="f" focussize="0,0"/>
              <v:stroke on="f"/>
              <v:imagedata o:title=""/>
              <o:lock v:ext="edit" aspectratio="f"/>
              <v:textbox inset="0mm,0mm,0mm,0mm" style="mso-fit-shape-to-text:t;">
                <w:txbxContent>
                  <w:p w14:paraId="3C624217">
                    <w:pPr>
                      <w:pStyle w:val="12"/>
                    </w:pPr>
                    <w:r>
                      <w:fldChar w:fldCharType="begin"/>
                    </w:r>
                    <w:r>
                      <w:instrText xml:space="preserve"> PAGE  \* MERGEFORMAT </w:instrText>
                    </w:r>
                    <w:r>
                      <w:fldChar w:fldCharType="separate"/>
                    </w:r>
                    <w:r>
                      <w:t>- 1 -</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85B70">
    <w:pPr>
      <w:pStyle w:val="12"/>
      <w:rPr>
        <w:sz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DC307E1">
                          <w:pPr>
                            <w:pStyle w:val="12"/>
                          </w:pPr>
                          <w:r>
                            <w:rPr>
                              <w:sz w:val="28"/>
                            </w:rPr>
                            <w:fldChar w:fldCharType="begin"/>
                          </w:r>
                          <w:r>
                            <w:rPr>
                              <w:sz w:val="28"/>
                            </w:rPr>
                            <w:instrText xml:space="preserve">PAGE   \* MERGEFORMAT</w:instrText>
                          </w:r>
                          <w:r>
                            <w:rPr>
                              <w:sz w:val="28"/>
                            </w:rPr>
                            <w:fldChar w:fldCharType="separate"/>
                          </w:r>
                          <w:r>
                            <w:rPr>
                              <w:sz w:val="28"/>
                              <w:lang w:val="zh-CN"/>
                            </w:rPr>
                            <w:t>-</w:t>
                          </w:r>
                          <w:r>
                            <w:rPr>
                              <w:sz w:val="28"/>
                            </w:rPr>
                            <w:t xml:space="preserve"> 2 -</w:t>
                          </w:r>
                          <w:r>
                            <w:rPr>
                              <w:sz w:val="28"/>
                            </w:rPr>
                            <w:fldChar w:fldCharType="end"/>
                          </w:r>
                        </w:p>
                      </w:txbxContent>
                    </wps:txbx>
                    <wps:bodyPr wrap="none" lIns="0" tIns="0" rIns="0" bIns="0">
                      <a:spAutoFit/>
                    </wps:bodyPr>
                  </wps:wsp>
                </a:graphicData>
              </a:graphic>
            </wp:anchor>
          </w:drawing>
        </mc:Choice>
        <mc:Fallback>
          <w:pict>
            <v:rect id="文本框 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5dblS0AAAAAUBAAAPAAAAAAAAAAEAIAAAACIAAABkcnMvZG93bnJldi54bWxQSwECFAAUAAAA&#10;CACHTuJAqJhhar0BAAB7AwAADgAAAAAAAAABACAAAAAfAQAAZHJzL2Uyb0RvYy54bWxQSwUGAAAA&#10;AAYABgBZAQAATgUAAAAA&#10;">
              <v:fill on="f" focussize="0,0"/>
              <v:stroke on="f"/>
              <v:imagedata o:title=""/>
              <o:lock v:ext="edit" aspectratio="f"/>
              <v:textbox inset="0mm,0mm,0mm,0mm" style="mso-fit-shape-to-text:t;">
                <w:txbxContent>
                  <w:p w14:paraId="2DC307E1">
                    <w:pPr>
                      <w:pStyle w:val="12"/>
                    </w:pPr>
                    <w:r>
                      <w:rPr>
                        <w:sz w:val="28"/>
                      </w:rPr>
                      <w:fldChar w:fldCharType="begin"/>
                    </w:r>
                    <w:r>
                      <w:rPr>
                        <w:sz w:val="28"/>
                      </w:rPr>
                      <w:instrText xml:space="preserve">PAGE   \* MERGEFORMAT</w:instrText>
                    </w:r>
                    <w:r>
                      <w:rPr>
                        <w:sz w:val="28"/>
                      </w:rPr>
                      <w:fldChar w:fldCharType="separate"/>
                    </w:r>
                    <w:r>
                      <w:rPr>
                        <w:sz w:val="28"/>
                        <w:lang w:val="zh-CN"/>
                      </w:rPr>
                      <w:t>-</w:t>
                    </w:r>
                    <w:r>
                      <w:rPr>
                        <w:sz w:val="28"/>
                      </w:rPr>
                      <w:t xml:space="preserve"> 2 -</w:t>
                    </w:r>
                    <w:r>
                      <w:rPr>
                        <w:sz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E2DC4">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A2EA8">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pPr>
        <w:ind w:left="0" w:firstLine="40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embedSystemFonts/>
  <w:attachedTemplate r:id="rId1"/>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jEsImhkaWQiOiI1NmQzNTIwOTBmY2EyZTVjODQ1N2Q0NDljNTJhNzQ4NCIsInVzZXJDb3VudCI6NH0="/>
    <w:docVar w:name="KSO_WPS_MARK_KEY" w:val="8d552c32-7414-441e-95de-3a851a2302de"/>
  </w:docVars>
  <w:rsids>
    <w:rsidRoot w:val="00000000"/>
    <w:rsid w:val="042C7498"/>
    <w:rsid w:val="058062D3"/>
    <w:rsid w:val="0A293CBB"/>
    <w:rsid w:val="0DB36B9E"/>
    <w:rsid w:val="0E2A6F40"/>
    <w:rsid w:val="0E3F1248"/>
    <w:rsid w:val="10703770"/>
    <w:rsid w:val="113D4C6C"/>
    <w:rsid w:val="126D79B4"/>
    <w:rsid w:val="16080731"/>
    <w:rsid w:val="17E752EC"/>
    <w:rsid w:val="17E95313"/>
    <w:rsid w:val="1AAC2302"/>
    <w:rsid w:val="1AF27408"/>
    <w:rsid w:val="1BDB3120"/>
    <w:rsid w:val="1C9A063E"/>
    <w:rsid w:val="20994828"/>
    <w:rsid w:val="237A5662"/>
    <w:rsid w:val="261A4CE8"/>
    <w:rsid w:val="28D124C0"/>
    <w:rsid w:val="2AB1510F"/>
    <w:rsid w:val="30C20906"/>
    <w:rsid w:val="313F0E2C"/>
    <w:rsid w:val="3207026E"/>
    <w:rsid w:val="351867B7"/>
    <w:rsid w:val="354F721B"/>
    <w:rsid w:val="3736503E"/>
    <w:rsid w:val="395E2777"/>
    <w:rsid w:val="3A3814AC"/>
    <w:rsid w:val="43520DF6"/>
    <w:rsid w:val="439B4D53"/>
    <w:rsid w:val="44031108"/>
    <w:rsid w:val="44A97134"/>
    <w:rsid w:val="45A83D21"/>
    <w:rsid w:val="486E3662"/>
    <w:rsid w:val="4B87091D"/>
    <w:rsid w:val="4CE83CDD"/>
    <w:rsid w:val="4D6C51D7"/>
    <w:rsid w:val="4F1008FA"/>
    <w:rsid w:val="50E46234"/>
    <w:rsid w:val="51F51E0C"/>
    <w:rsid w:val="5563713A"/>
    <w:rsid w:val="5594178A"/>
    <w:rsid w:val="59CD3061"/>
    <w:rsid w:val="5CB8466E"/>
    <w:rsid w:val="5D825A2E"/>
    <w:rsid w:val="5DA402F0"/>
    <w:rsid w:val="5E7D77DB"/>
    <w:rsid w:val="67386679"/>
    <w:rsid w:val="68E11A97"/>
    <w:rsid w:val="6BD538C1"/>
    <w:rsid w:val="6D8C6249"/>
    <w:rsid w:val="6E8B3274"/>
    <w:rsid w:val="7AD56B11"/>
    <w:rsid w:val="7C823954"/>
    <w:rsid w:val="7D03092C"/>
    <w:rsid w:val="7D675CD7"/>
    <w:rsid w:val="7E0B4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3">
    <w:name w:val="heading 1"/>
    <w:basedOn w:val="1"/>
    <w:next w:val="1"/>
    <w:autoRedefine/>
    <w:qFormat/>
    <w:uiPriority w:val="9"/>
    <w:pPr>
      <w:spacing w:line="360" w:lineRule="auto"/>
      <w:jc w:val="center"/>
      <w:outlineLvl w:val="0"/>
    </w:pPr>
    <w:rPr>
      <w:rFonts w:hint="eastAsia" w:hAnsi="宋体"/>
      <w:kern w:val="44"/>
      <w:szCs w:val="48"/>
    </w:rPr>
  </w:style>
  <w:style w:type="paragraph" w:styleId="4">
    <w:name w:val="heading 2"/>
    <w:basedOn w:val="1"/>
    <w:next w:val="1"/>
    <w:autoRedefine/>
    <w:qFormat/>
    <w:uiPriority w:val="9"/>
    <w:pPr>
      <w:spacing w:line="360" w:lineRule="auto"/>
      <w:jc w:val="center"/>
      <w:outlineLvl w:val="1"/>
    </w:pPr>
    <w:rPr>
      <w:rFonts w:hint="eastAsia" w:ascii="宋体" w:hAnsi="宋体" w:eastAsia="楷体"/>
      <w:b/>
      <w:kern w:val="0"/>
      <w:sz w:val="24"/>
      <w:szCs w:val="36"/>
    </w:rPr>
  </w:style>
  <w:style w:type="character" w:default="1" w:styleId="18">
    <w:name w:val="Default Paragraph Font"/>
    <w:autoRedefine/>
    <w:qFormat/>
    <w:uiPriority w:val="1"/>
  </w:style>
  <w:style w:type="table" w:default="1" w:styleId="16">
    <w:name w:val="Normal Table"/>
    <w:autoRedefine/>
    <w:qFormat/>
    <w:uiPriority w:val="99"/>
    <w:tblPr>
      <w:tblCellMar>
        <w:top w:w="0" w:type="dxa"/>
        <w:left w:w="108" w:type="dxa"/>
        <w:bottom w:w="0" w:type="dxa"/>
        <w:right w:w="108" w:type="dxa"/>
      </w:tblCellMar>
    </w:tblPr>
  </w:style>
  <w:style w:type="paragraph" w:styleId="2">
    <w:name w:val="Body Text Indent 2"/>
    <w:basedOn w:val="1"/>
    <w:autoRedefine/>
    <w:qFormat/>
    <w:uiPriority w:val="0"/>
    <w:pPr>
      <w:ind w:firstLine="536"/>
    </w:pPr>
    <w:rPr>
      <w:sz w:val="28"/>
    </w:rPr>
  </w:style>
  <w:style w:type="paragraph" w:styleId="5">
    <w:name w:val="Normal Indent"/>
    <w:basedOn w:val="1"/>
    <w:qFormat/>
    <w:uiPriority w:val="0"/>
    <w:pPr>
      <w:adjustRightInd w:val="0"/>
      <w:snapToGrid w:val="0"/>
      <w:spacing w:line="360" w:lineRule="auto"/>
      <w:ind w:firstLine="462"/>
      <w:textAlignment w:val="baseline"/>
    </w:pPr>
    <w:rPr>
      <w:rFonts w:eastAsia="仿宋_GB2312"/>
      <w:kern w:val="0"/>
      <w:sz w:val="24"/>
    </w:rPr>
  </w:style>
  <w:style w:type="paragraph" w:styleId="6">
    <w:name w:val="annotation text"/>
    <w:basedOn w:val="1"/>
    <w:autoRedefine/>
    <w:qFormat/>
    <w:uiPriority w:val="0"/>
    <w:pPr>
      <w:jc w:val="left"/>
    </w:pPr>
  </w:style>
  <w:style w:type="paragraph" w:styleId="7">
    <w:name w:val="Body Text"/>
    <w:basedOn w:val="1"/>
    <w:next w:val="8"/>
    <w:autoRedefine/>
    <w:qFormat/>
    <w:uiPriority w:val="0"/>
    <w:pPr>
      <w:adjustRightInd w:val="0"/>
      <w:spacing w:line="560" w:lineRule="exact"/>
      <w:textAlignment w:val="baseline"/>
    </w:pPr>
    <w:rPr>
      <w:rFonts w:ascii="Times New Roman" w:hAnsi="Times New Roman" w:eastAsia="仿宋" w:cs="Times New Roman"/>
      <w:szCs w:val="20"/>
    </w:rPr>
  </w:style>
  <w:style w:type="paragraph" w:styleId="8">
    <w:name w:val="Date"/>
    <w:basedOn w:val="1"/>
    <w:next w:val="1"/>
    <w:autoRedefine/>
    <w:qFormat/>
    <w:uiPriority w:val="0"/>
    <w:rPr>
      <w:sz w:val="24"/>
      <w:szCs w:val="20"/>
    </w:rPr>
  </w:style>
  <w:style w:type="paragraph" w:styleId="9">
    <w:name w:val="Body Text Indent"/>
    <w:basedOn w:val="1"/>
    <w:autoRedefine/>
    <w:qFormat/>
    <w:uiPriority w:val="0"/>
    <w:pPr>
      <w:ind w:firstLine="420" w:firstLineChars="200"/>
    </w:pPr>
    <w:rPr>
      <w:rFonts w:ascii="Calibri" w:hAnsi="Calibri" w:eastAsia="宋体"/>
      <w:sz w:val="21"/>
    </w:rPr>
  </w:style>
  <w:style w:type="paragraph" w:styleId="10">
    <w:name w:val="Plain Text"/>
    <w:basedOn w:val="1"/>
    <w:autoRedefine/>
    <w:qFormat/>
    <w:uiPriority w:val="0"/>
    <w:rPr>
      <w:rFonts w:ascii="宋体" w:hAnsi="Courier New" w:cs="Courier New"/>
      <w:sz w:val="24"/>
      <w:szCs w:val="21"/>
    </w:rPr>
  </w:style>
  <w:style w:type="paragraph" w:styleId="11">
    <w:name w:val="Balloon Text"/>
    <w:basedOn w:val="1"/>
    <w:link w:val="24"/>
    <w:autoRedefine/>
    <w:qFormat/>
    <w:uiPriority w:val="0"/>
    <w:rPr>
      <w:rFonts w:ascii="Times New Roman" w:eastAsia="宋体"/>
      <w:sz w:val="18"/>
      <w:szCs w:val="18"/>
    </w:rPr>
  </w:style>
  <w:style w:type="paragraph" w:styleId="12">
    <w:name w:val="footer"/>
    <w:basedOn w:val="1"/>
    <w:link w:val="21"/>
    <w:autoRedefine/>
    <w:qFormat/>
    <w:uiPriority w:val="99"/>
    <w:pPr>
      <w:tabs>
        <w:tab w:val="center" w:pos="4153"/>
        <w:tab w:val="right" w:pos="8306"/>
      </w:tabs>
      <w:snapToGrid w:val="0"/>
      <w:jc w:val="left"/>
    </w:pPr>
    <w:rPr>
      <w:rFonts w:ascii="Times New Roman" w:eastAsia="宋体"/>
      <w:sz w:val="18"/>
      <w:szCs w:val="18"/>
    </w:rPr>
  </w:style>
  <w:style w:type="paragraph" w:styleId="13">
    <w:name w:val="header"/>
    <w:basedOn w:val="1"/>
    <w:link w:val="20"/>
    <w:autoRedefine/>
    <w:qFormat/>
    <w:uiPriority w:val="0"/>
    <w:pPr>
      <w:pBdr>
        <w:bottom w:val="single" w:color="auto" w:sz="6" w:space="1"/>
      </w:pBdr>
      <w:tabs>
        <w:tab w:val="center" w:pos="4153"/>
        <w:tab w:val="right" w:pos="8306"/>
      </w:tabs>
      <w:snapToGrid w:val="0"/>
      <w:jc w:val="center"/>
    </w:pPr>
    <w:rPr>
      <w:rFonts w:ascii="Times New Roman" w:eastAsia="宋体"/>
      <w:sz w:val="18"/>
      <w:szCs w:val="18"/>
    </w:rPr>
  </w:style>
  <w:style w:type="paragraph" w:styleId="14">
    <w:name w:val="Body Text 2"/>
    <w:basedOn w:val="1"/>
    <w:autoRedefine/>
    <w:qFormat/>
    <w:uiPriority w:val="0"/>
    <w:pPr>
      <w:spacing w:after="120" w:line="480" w:lineRule="auto"/>
    </w:pPr>
    <w:rPr>
      <w:rFonts w:ascii="Calibri" w:hAnsi="Calibri"/>
      <w:szCs w:val="24"/>
    </w:rPr>
  </w:style>
  <w:style w:type="paragraph" w:styleId="15">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autoRedefine/>
    <w:qFormat/>
    <w:uiPriority w:val="0"/>
    <w:rPr>
      <w:color w:val="333333"/>
      <w:u w:val="none"/>
    </w:rPr>
  </w:style>
  <w:style w:type="character" w:customStyle="1" w:styleId="20">
    <w:name w:val="页眉 字符"/>
    <w:link w:val="13"/>
    <w:autoRedefine/>
    <w:qFormat/>
    <w:uiPriority w:val="0"/>
    <w:rPr>
      <w:kern w:val="2"/>
      <w:sz w:val="18"/>
      <w:szCs w:val="18"/>
    </w:rPr>
  </w:style>
  <w:style w:type="character" w:customStyle="1" w:styleId="21">
    <w:name w:val="页脚 字符"/>
    <w:link w:val="12"/>
    <w:autoRedefine/>
    <w:qFormat/>
    <w:uiPriority w:val="99"/>
    <w:rPr>
      <w:kern w:val="2"/>
      <w:sz w:val="18"/>
      <w:szCs w:val="18"/>
    </w:rPr>
  </w:style>
  <w:style w:type="character" w:customStyle="1" w:styleId="22">
    <w:name w:val="样式2 Char"/>
    <w:link w:val="23"/>
    <w:autoRedefine/>
    <w:qFormat/>
    <w:uiPriority w:val="0"/>
    <w:rPr>
      <w:rFonts w:ascii="黑体" w:eastAsia="黑体"/>
      <w:sz w:val="24"/>
    </w:rPr>
  </w:style>
  <w:style w:type="paragraph" w:customStyle="1" w:styleId="23">
    <w:name w:val="样式2"/>
    <w:basedOn w:val="1"/>
    <w:link w:val="22"/>
    <w:autoRedefine/>
    <w:qFormat/>
    <w:uiPriority w:val="0"/>
    <w:pPr>
      <w:snapToGrid w:val="0"/>
      <w:spacing w:line="360" w:lineRule="auto"/>
      <w:ind w:firstLine="480" w:firstLineChars="200"/>
    </w:pPr>
    <w:rPr>
      <w:rFonts w:ascii="黑体" w:eastAsia="黑体"/>
      <w:kern w:val="0"/>
      <w:sz w:val="24"/>
      <w:szCs w:val="20"/>
    </w:rPr>
  </w:style>
  <w:style w:type="character" w:customStyle="1" w:styleId="24">
    <w:name w:val="批注框文本 字符"/>
    <w:link w:val="11"/>
    <w:qFormat/>
    <w:uiPriority w:val="0"/>
    <w:rPr>
      <w:kern w:val="2"/>
      <w:sz w:val="18"/>
      <w:szCs w:val="18"/>
    </w:rPr>
  </w:style>
  <w:style w:type="paragraph" w:customStyle="1" w:styleId="25">
    <w:name w:val="样式3"/>
    <w:basedOn w:val="1"/>
    <w:autoRedefine/>
    <w:qFormat/>
    <w:uiPriority w:val="0"/>
    <w:pPr>
      <w:snapToGrid w:val="0"/>
      <w:spacing w:line="360" w:lineRule="auto"/>
      <w:jc w:val="center"/>
    </w:pPr>
    <w:rPr>
      <w:rFonts w:ascii="方正小标宋简体" w:eastAsia="方正小标宋简体"/>
      <w:sz w:val="44"/>
      <w:szCs w:val="44"/>
    </w:rPr>
  </w:style>
  <w:style w:type="paragraph" w:styleId="26">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5919;&#24220;&#30003;&#25253;&#25991;&#20214;&#34920;&#26684;\file:\C:\Users\Administrator\AppData\Roaming\kingsoft\office6\templates\download\131bb1941c2cbddf1984e2ad787a753a\&#26524;&#34092;&#22823;&#26842;&#25215;&#21253;&#21512;&#2151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c87319f6-2e0c-49fa-9d46-f90162e4e06e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2CF927A6</paraID>
      <start>0</start>
      <end>2</end>
      <status>unmodified</status>
      <modifiedWord/>
      <trackRevisions>false</trackRevisions>
    </reviewItem>
    <reviewItem>
      <errorID>a4023005-376f-4ea4-bdea-591b3f6cbe99</errorID>
      <errorWord>期内合</errorWord>
      <group>L1_Word</group>
      <groupName>字词问题</groupName>
      <ability>L2_Typo</ability>
      <abilityName>字词错误</abilityName>
      <candidateList>
        <item>期内</item>
      </candidateList>
      <explain/>
      <paraID>2CF927A6</paraID>
      <start>51</start>
      <end>53</end>
      <status>modified</status>
      <modifiedWord>期内</modifiedWord>
      <trackRevisions>false</trackRevisions>
    </reviewItem>
    <reviewItem>
      <errorID>79a55d2a-030c-41c6-a5d6-2e5832301d3b</errorID>
      <errorWord>有</errorWord>
      <group>L1_Word</group>
      <groupName>字词问题</groupName>
      <ability>L2_Typo</ability>
      <abilityName>字词错误</abilityName>
      <candidateList>
        <item>由</item>
      </candidateList>
      <explain>存在发音相同字词的误用。</explain>
      <paraID>4B47A147</paraID>
      <start>48</start>
      <end>49</end>
      <status>unmodified</status>
      <modifiedWord/>
      <trackRevisions>false</trackRevisions>
    </reviewItem>
    <reviewItem>
      <errorID>a324e362-34a1-4d20-8d28-bf4ca0e6e066</errorID>
      <errorWord>乙方其</errorWord>
      <group>L1_Word</group>
      <groupName>字词问题</groupName>
      <ability>L2_Typo</ability>
      <abilityName>字词错误</abilityName>
      <candidateList>
        <item>乙方</item>
      </candidateList>
      <explain/>
      <paraID>4B47A147</paraID>
      <start>49</start>
      <end>51</end>
      <status>modified</status>
      <modifiedWord>乙方</modifiedWord>
      <trackRevisions>false</trackRevisions>
    </reviewItem>
    <reviewItem>
      <errorID>c5fab02d-1334-4b48-8177-ec76abe6516d</errorID>
      <errorWord>，</errorWord>
      <group>L1_Word</group>
      <groupName>字词问题</groupName>
      <ability>L2_Typo</ability>
      <abilityName>字词错误</abilityName>
      <candidateList>
        <item>，土</item>
      </candidateList>
      <explain/>
      <paraID>287CD3A9</paraID>
      <start>62</start>
      <end>63</end>
      <status>unmodified</status>
      <modifiedWord/>
      <trackRevisions>false</trackRevisions>
    </reviewItem>
    <reviewItem>
      <errorID>fe1e9ec7-c89d-48c0-aa80-a22ef94f939f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6D2167D4</paraID>
      <start>23</start>
      <end>26</end>
      <status>unmodified</status>
      <modifiedWord/>
      <trackRevisions>false</trackRevisions>
    </reviewItem>
    <reviewItem>
      <errorID>9bef5f9f-76bc-4852-9f10-e20ad0c5e69b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6D2167D4</paraID>
      <start>41</start>
      <end>44</end>
      <status>unmodified</status>
      <modifiedWord/>
      <trackRevisions>false</trackRevisions>
    </reviewItem>
    <reviewItem>
      <errorID>5a7b14c6-ad65-43e2-a25d-e31512d07236</errorID>
      <errorWord>，</errorWord>
      <group>L1_Word</group>
      <groupName>字词问题</groupName>
      <ability>L2_Typo</ability>
      <abilityName>字词错误</abilityName>
      <candidateList>
        <item>，超</item>
      </candidateList>
      <explain/>
      <paraID>6D2167D4</paraID>
      <start>95</start>
      <end>96</end>
      <status>unmodified</status>
      <modifiedWord/>
      <trackRevisions>false</trackRevisions>
    </reviewItem>
    <reviewItem>
      <errorID>54926e74-7fbc-4282-b93d-afebb34f151c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6E6E6B13</paraID>
      <start>0</start>
      <end>2</end>
      <status>unmodified</status>
      <modifiedWord/>
      <trackRevisions>false</trackRevisions>
    </reviewItem>
    <reviewItem>
      <errorID>c2fc2c9b-5269-49f6-bf7c-f76456de1d69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3502E6D5</paraID>
      <start>0</start>
      <end>2</end>
      <status>unmodified</status>
      <modifiedWord/>
      <trackRevisions>false</trackRevisions>
    </reviewItem>
    <reviewItem>
      <errorID>611624ec-aeb0-4b5a-a451-a0b15030d235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590A6D93</paraID>
      <start>0</start>
      <end>2</end>
      <status>unmodified</status>
      <modifiedWord/>
      <trackRevisions>false</trackRevisions>
    </reviewItem>
    <reviewItem>
      <errorID>e4e78249-6dbf-4faf-8b4b-bfdb6a28ecdd</errorID>
      <errorWord>中国人银行</errorWord>
      <group>L1_Political</group>
      <groupName>政治性问题</groupName>
      <ability>L2_Keyword</ability>
      <abilityName>固定表述</abilityName>
      <candidateList>
        <item>中国人民银行</item>
      </candidateList>
      <explain>词汇“中国人民银行”在特定场景下为固定表述形式，请确认此处的“中国人银行”是否存在不当。</explain>
      <paraID>590A6D93</paraID>
      <start>46</start>
      <end>52</end>
      <status>modified</status>
      <modifiedWord>中国人民银行</modifiedWord>
      <trackRevisions>false</trackRevisions>
    </reviewItem>
    <reviewItem>
      <errorID>74a343a2-d801-432f-9de4-cd39083dbc53</errorID>
      <errorWord>中国人银行</errorWord>
      <group>L1_Political</group>
      <groupName>政治性问题</groupName>
      <ability>L2_Keyword</ability>
      <abilityName>固定表述</abilityName>
      <candidateList>
        <item>中国人民银行</item>
      </candidateList>
      <explain>词汇“中国人民银行”在特定场景下为固定表述形式，请确认此处的“中国人银行”是否存在不当。</explain>
      <paraID>590A6D93</paraID>
      <start>117</start>
      <end>123</end>
      <status>modified</status>
      <modifiedWord>中国人民银行</modifiedWord>
      <trackRevisions>false</trackRevisions>
    </reviewItem>
    <reviewItem>
      <errorID>3128803a-5961-40a9-83c9-294700aa638f</errorID>
      <errorWord>用</errorWord>
      <group>L1_Word</group>
      <groupName>字词问题</groupName>
      <ability>L2_Typo</ability>
      <abilityName>字词错误</abilityName>
      <candidateList>
        <item>用由</item>
      </candidateList>
      <explain/>
      <paraID>6FC25F36</paraID>
      <start>83</start>
      <end>85</end>
      <status>modified</status>
      <modifiedWord>用由</modifiedWord>
      <trackRevisions>false</trackRevisions>
    </reviewItem>
    <reviewItem>
      <errorID>7198ef0b-f66f-477c-8815-afd881c66a5c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3659295F</paraID>
      <start>0</start>
      <end>2</end>
      <status>modified</status>
      <modifiedWord>6.</modifiedWord>
      <trackRevisions>false</trackRevisions>
    </reviewItem>
    <reviewItem>
      <errorID>ef21fede-449d-4a04-9c6f-17a7171e91f3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8479446</paraID>
      <start>0</start>
      <end>2</end>
      <status>modified</status>
      <modifiedWord>7.</modifiedWord>
      <trackRevisions>false</trackRevisions>
    </reviewItem>
    <reviewItem>
      <errorID>82ea792e-bfdd-4aba-ae70-36a2d5f85210</errorID>
      <errorWord>,</errorWord>
      <group>L1_Format</group>
      <groupName>格式问题</groupName>
      <ability>L2_HalfPunc</ability>
      <abilityName>全半角检查</abilityName>
      <candidateList>
        <item>，</item>
      </candidateList>
      <explain>文本全半角错误。</explain>
      <paraID>34A61B5F</paraID>
      <start>25</start>
      <end>26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235a6e-6ccd-404f-8881-0f553fe3ca67}">
  <ds:schemaRefs/>
</ds:datastoreItem>
</file>

<file path=docProps/app.xml><?xml version="1.0" encoding="utf-8"?>
<Properties xmlns="http://schemas.openxmlformats.org/officeDocument/2006/extended-properties" xmlns:vt="http://schemas.openxmlformats.org/officeDocument/2006/docPropsVTypes">
  <Template>果蔬大棚承包合同.docx</Template>
  <Pages>8</Pages>
  <Words>3509</Words>
  <Characters>3653</Characters>
  <Paragraphs>158</Paragraphs>
  <TotalTime>9</TotalTime>
  <ScaleCrop>false</ScaleCrop>
  <LinksUpToDate>false</LinksUpToDate>
  <CharactersWithSpaces>3997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2023-07-19T04:04:00Z</dcterms:created>
  <dc:creator>文档存本地丢失不负责</dc:creator>
  <cp:lastModifiedBy>Onism</cp:lastModifiedBy>
  <cp:lastPrinted>2023-09-14T08:47:00Z</cp:lastPrinted>
  <dcterms:modified xsi:type="dcterms:W3CDTF">2026-08-07T01:15:21Z</dcterms:modified>
  <dc:title>上海市市场监督管理局 上海市农业农村委员会</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8674935B897F4B4FBC2865578FC16F0D_13</vt:lpwstr>
  </property>
  <property fmtid="{D5CDD505-2E9C-101B-9397-08002B2CF9AE}" pid="4" name="KSOTemplateUUID">
    <vt:lpwstr>v1.0_mb_hJrzumNf4WhlxgNjTkRlMw==</vt:lpwstr>
  </property>
  <property fmtid="{D5CDD505-2E9C-101B-9397-08002B2CF9AE}" pid="5" name="KSOTemplateDocerSaveRecord">
    <vt:lpwstr>eyJoZGlkIjoiNTZkMzUyMDkwZmNhMmU1Yzg0NTdkNDQ5YzUyYTc0ODQiLCJ1c2VySWQiOiIzMzkyNjkxODIifQ==</vt:lpwstr>
  </property>
</Properties>
</file>