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3"/>
        <w:spacing w:line="240" w:lineRule="auto"/>
        <w:jc w:val="center"/>
        <w:rPr>
          <w:rFonts w:ascii="黑体" w:hAnsi="黑体"/>
          <w:color w:val="auto"/>
        </w:rPr>
      </w:pPr>
      <w:bookmarkStart w:id="0" w:name="_Toc21762"/>
      <w:bookmarkStart w:id="1" w:name="_Toc15737"/>
      <w:bookmarkStart w:id="2" w:name="_Toc32320"/>
      <w:bookmarkStart w:id="3" w:name="_Toc24454"/>
      <w:bookmarkStart w:id="4" w:name="_Toc21422"/>
      <w:bookmarkStart w:id="5" w:name="_Toc20910"/>
      <w:bookmarkStart w:id="6" w:name="_Toc11918"/>
      <w:bookmarkStart w:id="7" w:name="_Toc7615"/>
      <w:bookmarkStart w:id="8" w:name="_Toc24727"/>
      <w:bookmarkStart w:id="9" w:name="_Toc20033"/>
      <w:bookmarkStart w:id="10" w:name="_Toc12789"/>
      <w:bookmarkStart w:id="11" w:name="_Toc25712"/>
      <w:bookmarkStart w:id="12" w:name="_Toc8396"/>
      <w:bookmarkStart w:id="13" w:name="_Toc24068"/>
      <w:bookmarkStart w:id="14" w:name="_Toc13462"/>
      <w:bookmarkStart w:id="15" w:name="_Toc29002"/>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val="0"/>
          <w:bCs w:val="0"/>
          <w:color w:val="auto"/>
          <w:sz w:val="28"/>
          <w:szCs w:val="28"/>
          <w:u w:val="single"/>
          <w:lang w:val="en-US" w:eastAsia="zh-CN"/>
        </w:rPr>
        <w:t>屯昌县南坤镇黄岭墟黄新二路44㎡铺面（原复印理发店）出租</w:t>
      </w:r>
      <w:r>
        <w:rPr>
          <w:rFonts w:hint="eastAsia" w:ascii="新宋体" w:hAnsi="新宋体" w:eastAsia="新宋体"/>
          <w:b w:val="0"/>
          <w:bCs w:val="0"/>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交易规则（试行）》、《</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农村产权交易服务平台网络竞价实施办法（试行）》及有关法律、法规的规定，制定本交易须知。</w:t>
      </w:r>
    </w:p>
    <w:p w14:paraId="5C1F74C4">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w:t>
      </w:r>
      <w:r>
        <w:rPr>
          <w:rFonts w:hint="eastAsia" w:ascii="新宋体" w:hAnsi="新宋体" w:eastAsia="新宋体" w:cs="Times New Roman"/>
          <w:b/>
          <w:bCs/>
          <w:color w:val="auto"/>
          <w:sz w:val="28"/>
          <w:szCs w:val="28"/>
        </w:rPr>
        <w:t>凡参加平台网络竞价的竞买方必须遵守本交易须知、平台有关交易规则以及有关法律法规。</w:t>
      </w:r>
    </w:p>
    <w:p w14:paraId="316194BF">
      <w:pPr>
        <w:spacing w:line="520" w:lineRule="exact"/>
        <w:ind w:left="0" w:leftChars="0" w:firstLine="560" w:firstLineChars="200"/>
        <w:jc w:val="left"/>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2、</w:t>
      </w:r>
      <w:r>
        <w:rPr>
          <w:rFonts w:hint="eastAsia" w:ascii="新宋体" w:hAnsi="新宋体" w:eastAsia="新宋体" w:cs="Times New Roman"/>
          <w:b/>
          <w:bCs/>
          <w:color w:val="auto"/>
          <w:sz w:val="28"/>
          <w:szCs w:val="28"/>
          <w:lang w:val="en-US" w:eastAsia="zh-CN"/>
        </w:rPr>
        <w:t>屯昌</w:t>
      </w:r>
      <w:r>
        <w:rPr>
          <w:rFonts w:hint="eastAsia" w:ascii="新宋体" w:hAnsi="新宋体" w:eastAsia="新宋体" w:cs="Times New Roman"/>
          <w:b/>
          <w:bCs/>
          <w:color w:val="auto"/>
          <w:sz w:val="28"/>
          <w:szCs w:val="28"/>
        </w:rPr>
        <w:t>农村产权</w:t>
      </w:r>
      <w:r>
        <w:rPr>
          <w:rFonts w:hint="eastAsia" w:ascii="新宋体" w:hAnsi="新宋体" w:eastAsia="新宋体" w:cs="Times New Roman"/>
          <w:b/>
          <w:bCs/>
          <w:color w:val="auto"/>
          <w:sz w:val="28"/>
          <w:szCs w:val="28"/>
          <w:lang w:val="en-US" w:eastAsia="zh-CN"/>
        </w:rPr>
        <w:t>流转</w:t>
      </w:r>
      <w:r>
        <w:rPr>
          <w:rFonts w:hint="eastAsia" w:ascii="新宋体" w:hAnsi="新宋体" w:eastAsia="新宋体" w:cs="Times New Roman"/>
          <w:b/>
          <w:bCs/>
          <w:color w:val="auto"/>
          <w:sz w:val="28"/>
          <w:szCs w:val="28"/>
        </w:rPr>
        <w:t>交易服务平台</w:t>
      </w:r>
      <w:r>
        <w:rPr>
          <w:rFonts w:hint="eastAsia" w:ascii="新宋体" w:hAnsi="新宋体" w:eastAsia="新宋体" w:cs="Times New Roman"/>
          <w:b w:val="0"/>
          <w:bCs w:val="0"/>
          <w:color w:val="auto"/>
          <w:sz w:val="28"/>
          <w:szCs w:val="28"/>
        </w:rPr>
        <w:t>（</w:t>
      </w:r>
      <w:r>
        <w:rPr>
          <w:rFonts w:hint="eastAsia" w:ascii="新宋体" w:hAnsi="新宋体" w:eastAsia="新宋体" w:cs="Times New Roman"/>
          <w:b/>
          <w:bCs/>
          <w:color w:val="auto"/>
          <w:sz w:val="28"/>
          <w:szCs w:val="28"/>
        </w:rPr>
        <w:t>https://tunchang.nongjiao.com/</w:t>
      </w:r>
      <w:r>
        <w:rPr>
          <w:rFonts w:hint="eastAsia" w:ascii="新宋体" w:hAnsi="新宋体" w:eastAsia="新宋体" w:cs="Times New Roman"/>
          <w:b w:val="0"/>
          <w:bCs w:val="0"/>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w:t>
      </w:r>
      <w:r>
        <w:rPr>
          <w:rFonts w:hint="eastAsia" w:ascii="新宋体" w:hAnsi="新宋体" w:eastAsia="新宋体" w:cs="Times New Roman"/>
          <w:b/>
          <w:bCs/>
          <w:color w:val="auto"/>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6B25D737">
      <w:pPr>
        <w:spacing w:line="520" w:lineRule="exact"/>
        <w:ind w:firstLine="560" w:firstLineChars="200"/>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w:t>
      </w:r>
    </w:p>
    <w:p w14:paraId="63CAC3F9">
      <w:pPr>
        <w:spacing w:line="520" w:lineRule="exact"/>
        <w:ind w:firstLine="560" w:firstLineChars="200"/>
        <w:rPr>
          <w:rFonts w:hint="eastAsia" w:ascii="新宋体" w:hAnsi="新宋体" w:eastAsia="新宋体" w:cs="Times New Roman"/>
          <w:b/>
          <w:bCs/>
          <w:color w:val="auto"/>
          <w:sz w:val="28"/>
          <w:szCs w:val="28"/>
          <w:lang w:eastAsia="zh-CN"/>
        </w:rPr>
      </w:pPr>
      <w:r>
        <w:rPr>
          <w:rFonts w:hint="eastAsia" w:ascii="新宋体" w:hAnsi="新宋体" w:eastAsia="新宋体" w:cs="Times New Roman"/>
          <w:color w:val="auto"/>
          <w:sz w:val="28"/>
          <w:szCs w:val="28"/>
        </w:rPr>
        <w:t>5、</w:t>
      </w:r>
      <w:r>
        <w:rPr>
          <w:rFonts w:hint="eastAsia" w:ascii="新宋体" w:hAnsi="新宋体" w:eastAsia="新宋体" w:cs="Times New Roman"/>
          <w:b/>
          <w:bCs/>
          <w:color w:val="auto"/>
          <w:sz w:val="28"/>
          <w:szCs w:val="28"/>
        </w:rPr>
        <w:t>竞买申请方一旦提交竞买报名，即视为其已完全了解标的物的相关情况、认可标的交易公告及附件的全部内容、对标的现状无异议、同意遵守平台有关交易规则和交易须知</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rPr>
        <w:t>对竞价成功后的《标的竞得书》及合同的签署均无异议。</w:t>
      </w:r>
    </w:p>
    <w:p w14:paraId="3AD576C8">
      <w:pPr>
        <w:numPr>
          <w:ilvl w:val="0"/>
          <w:numId w:val="1"/>
        </w:numPr>
        <w:spacing w:line="520" w:lineRule="exact"/>
      </w:pPr>
      <w:r>
        <w:rPr>
          <w:rFonts w:hint="eastAsia" w:ascii="新宋体" w:hAnsi="新宋体" w:eastAsia="新宋体" w:cs="Times New Roman"/>
          <w:b w:val="0"/>
          <w:bCs w:val="0"/>
          <w:color w:val="auto"/>
          <w:sz w:val="28"/>
          <w:szCs w:val="28"/>
        </w:rPr>
        <w:t>竞买申请方应当于</w:t>
      </w:r>
      <w:r>
        <w:rPr>
          <w:rFonts w:hint="eastAsia" w:ascii="新宋体" w:hAnsi="新宋体" w:eastAsia="新宋体" w:cs="Times New Roman"/>
          <w:b w:val="0"/>
          <w:bCs w:val="0"/>
          <w:color w:val="auto"/>
          <w:sz w:val="28"/>
          <w:szCs w:val="28"/>
          <w:u w:val="single"/>
          <w:lang w:val="en-US" w:eastAsia="zh-CN"/>
        </w:rPr>
        <w:t>2026/9/16 16:00:00</w:t>
      </w:r>
      <w:r>
        <w:rPr>
          <w:rFonts w:hint="eastAsia" w:ascii="新宋体" w:hAnsi="新宋体" w:eastAsia="新宋体" w:cs="Times New Roman"/>
          <w:b w:val="0"/>
          <w:bCs w:val="0"/>
          <w:color w:val="auto"/>
          <w:sz w:val="28"/>
          <w:szCs w:val="28"/>
        </w:rPr>
        <w:t>前签署并向平台提交本次网络竞价</w:t>
      </w:r>
      <w:r>
        <w:rPr>
          <w:rFonts w:hint="eastAsia" w:ascii="新宋体" w:hAnsi="新宋体" w:eastAsia="新宋体" w:cs="Times New Roman"/>
          <w:b/>
          <w:bCs/>
          <w:color w:val="auto"/>
          <w:sz w:val="28"/>
          <w:szCs w:val="28"/>
        </w:rPr>
        <w:t>《网络竞价须知》《网络竞价承诺函》</w:t>
      </w:r>
      <w:r>
        <w:rPr>
          <w:rFonts w:hint="eastAsia" w:ascii="新宋体" w:hAnsi="新宋体" w:eastAsia="新宋体" w:cs="Times New Roman"/>
          <w:b w:val="0"/>
          <w:bCs w:val="0"/>
          <w:color w:val="auto"/>
          <w:sz w:val="28"/>
          <w:szCs w:val="28"/>
        </w:rPr>
        <w:t>等竞价文件</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color w:val="auto"/>
          <w:sz w:val="28"/>
          <w:szCs w:val="28"/>
        </w:rPr>
        <w:t>平台审核通过后，交纳交易保证金（交易保证金金额一般为意向标的物起拍价</w:t>
      </w:r>
      <w:r>
        <w:rPr>
          <w:rFonts w:hint="eastAsia" w:ascii="新宋体" w:hAnsi="新宋体" w:eastAsia="新宋体" w:cs="Times New Roman"/>
          <w:color w:val="auto"/>
          <w:sz w:val="28"/>
          <w:szCs w:val="28"/>
          <w:lang w:val="en-US" w:eastAsia="zh-CN"/>
        </w:rPr>
        <w:t>的</w:t>
      </w:r>
      <w:r>
        <w:rPr>
          <w:rFonts w:hint="eastAsia" w:ascii="新宋体" w:hAnsi="新宋体" w:eastAsia="新宋体" w:cs="Times New Roman"/>
          <w:color w:val="auto"/>
          <w:sz w:val="28"/>
          <w:szCs w:val="28"/>
        </w:rPr>
        <w:t>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val="0"/>
          <w:bCs w:val="0"/>
          <w:color w:val="auto"/>
          <w:sz w:val="28"/>
          <w:szCs w:val="28"/>
        </w:rPr>
        <w:t>竞买申请方</w:t>
      </w:r>
      <w:r>
        <w:rPr>
          <w:rFonts w:hint="eastAsia" w:ascii="新宋体" w:hAnsi="新宋体" w:eastAsia="新宋体" w:cs="Times New Roman"/>
          <w:b/>
          <w:bCs/>
          <w:color w:val="auto"/>
          <w:sz w:val="28"/>
          <w:szCs w:val="28"/>
        </w:rPr>
        <w:t>必须用本人的银行账户（单位用户须用本单位公户）</w:t>
      </w:r>
      <w:r>
        <w:rPr>
          <w:rFonts w:hint="eastAsia" w:ascii="新宋体" w:hAnsi="新宋体" w:eastAsia="新宋体" w:cs="Times New Roman"/>
          <w:b w:val="0"/>
          <w:bCs w:val="0"/>
          <w:color w:val="auto"/>
          <w:sz w:val="28"/>
          <w:szCs w:val="28"/>
        </w:rPr>
        <w:t>通过网银、手机银行、柜台转账等方式</w:t>
      </w:r>
      <w:r>
        <w:rPr>
          <w:rFonts w:hint="eastAsia" w:ascii="新宋体" w:hAnsi="新宋体" w:eastAsia="新宋体" w:cs="Times New Roman"/>
          <w:b w:val="0"/>
          <w:bCs w:val="0"/>
          <w:color w:val="auto"/>
          <w:sz w:val="28"/>
          <w:szCs w:val="28"/>
          <w:lang w:val="en-US" w:eastAsia="zh-CN"/>
        </w:rPr>
        <w:t>将</w:t>
      </w:r>
      <w:r>
        <w:rPr>
          <w:rFonts w:hint="eastAsia" w:ascii="新宋体" w:hAnsi="新宋体" w:eastAsia="新宋体" w:cs="Times New Roman"/>
          <w:b w:val="0"/>
          <w:bCs w:val="0"/>
          <w:color w:val="auto"/>
          <w:sz w:val="28"/>
          <w:szCs w:val="28"/>
        </w:rPr>
        <w:t>交易保证金款项存入平台交易保证金结算账户，方</w:t>
      </w:r>
      <w:r>
        <w:rPr>
          <w:rFonts w:hint="eastAsia" w:ascii="新宋体" w:hAnsi="新宋体" w:eastAsia="新宋体" w:cs="Times New Roman"/>
          <w:b w:val="0"/>
          <w:bCs w:val="0"/>
          <w:color w:val="auto"/>
          <w:sz w:val="28"/>
          <w:szCs w:val="28"/>
          <w:lang w:val="en-US" w:eastAsia="zh-CN"/>
        </w:rPr>
        <w:t>可</w:t>
      </w:r>
      <w:r>
        <w:rPr>
          <w:rFonts w:hint="eastAsia" w:ascii="新宋体" w:hAnsi="新宋体" w:eastAsia="新宋体" w:cs="Times New Roman"/>
          <w:b w:val="0"/>
          <w:bCs w:val="0"/>
          <w:color w:val="auto"/>
          <w:sz w:val="28"/>
          <w:szCs w:val="28"/>
        </w:rPr>
        <w:t>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6313BC34">
        <w:tblPrEx>
          <w:tblCellMar>
            <w:top w:w="0" w:type="dxa"/>
            <w:left w:w="108" w:type="dxa"/>
            <w:bottom w:w="0" w:type="dxa"/>
            <w:right w:w="108" w:type="dxa"/>
          </w:tblCellMar>
        </w:tblPrEx>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4F87B">
            <w:pPr>
              <w:jc w:val="center"/>
              <w:rPr>
                <w:rFonts w:hint="eastAsia" w:ascii="新宋体" w:hAnsi="新宋体" w:eastAsia="新宋体" w:cs="新宋体"/>
                <w:b w:val="0"/>
                <w:bCs w:val="0"/>
                <w:color w:val="auto"/>
                <w:sz w:val="28"/>
                <w:szCs w:val="28"/>
                <w:lang w:val="en-US" w:eastAsia="zh-CN"/>
              </w:rPr>
            </w:pPr>
            <w:r>
              <w:rPr>
                <w:rFonts w:hint="eastAsia" w:ascii="新宋体" w:hAnsi="新宋体" w:eastAsia="新宋体" w:cs="新宋体"/>
                <w:b/>
                <w:bCs/>
                <w:color w:val="auto"/>
                <w:sz w:val="28"/>
                <w:szCs w:val="28"/>
              </w:rPr>
              <w:t>交易保证金收款账户</w:t>
            </w:r>
          </w:p>
        </w:tc>
      </w:tr>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533A">
            <w:pPr>
              <w:jc w:val="center"/>
              <w:rPr>
                <w:rFonts w:hint="default"/>
                <w:lang w:val="en-US"/>
              </w:rPr>
            </w:pPr>
            <w:r>
              <w:rPr>
                <w:rFonts w:hint="eastAsia" w:ascii="新宋体" w:hAnsi="新宋体" w:eastAsia="新宋体" w:cs="新宋体"/>
                <w:b w:val="0"/>
                <w:bCs w:val="0"/>
                <w:color w:val="auto"/>
                <w:sz w:val="28"/>
                <w:szCs w:val="28"/>
                <w:lang w:val="en-US" w:eastAsia="zh-CN"/>
              </w:rPr>
              <w:t>1021644500000295</w:t>
            </w:r>
          </w:p>
        </w:tc>
      </w:tr>
    </w:tbl>
    <w:p w14:paraId="2D618B23">
      <w:pPr>
        <w:spacing w:line="520" w:lineRule="exact"/>
        <w:ind w:firstLine="560" w:firstLineChars="200"/>
        <w:rPr>
          <w:rFonts w:hint="eastAsia" w:ascii="新宋体" w:hAnsi="新宋体" w:eastAsia="新宋体" w:cs="Times New Roman"/>
          <w:color w:val="auto"/>
          <w:sz w:val="28"/>
          <w:szCs w:val="28"/>
        </w:rPr>
      </w:pPr>
    </w:p>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w:t>
      </w:r>
      <w:r>
        <w:rPr>
          <w:rFonts w:hint="eastAsia" w:ascii="新宋体" w:hAnsi="新宋体" w:eastAsia="新宋体" w:cs="Times New Roman"/>
          <w:color w:val="auto"/>
          <w:sz w:val="28"/>
          <w:szCs w:val="28"/>
          <w:lang w:val="en-US" w:eastAsia="zh-CN"/>
        </w:rPr>
        <w:t>个人或单位</w:t>
      </w:r>
      <w:r>
        <w:rPr>
          <w:rFonts w:hint="eastAsia" w:ascii="新宋体" w:hAnsi="新宋体" w:eastAsia="新宋体" w:cs="Times New Roman"/>
          <w:color w:val="auto"/>
          <w:sz w:val="28"/>
          <w:szCs w:val="28"/>
        </w:rPr>
        <w:t>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D5E1DCB">
      <w:pPr>
        <w:spacing w:line="520" w:lineRule="exact"/>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三、竞买方办理竞拍登记手续和交易保证金交纳，经</w:t>
      </w:r>
      <w:r>
        <w:rPr>
          <w:rFonts w:hint="eastAsia" w:ascii="新宋体" w:hAnsi="新宋体" w:eastAsia="新宋体" w:cs="Times New Roman"/>
          <w:color w:val="auto"/>
          <w:sz w:val="28"/>
          <w:szCs w:val="28"/>
          <w:lang w:val="en-US" w:eastAsia="zh-CN"/>
        </w:rPr>
        <w:t>平台审核</w:t>
      </w:r>
      <w:r>
        <w:rPr>
          <w:rFonts w:hint="eastAsia" w:ascii="新宋体" w:hAnsi="新宋体" w:eastAsia="新宋体" w:cs="Times New Roman"/>
          <w:color w:val="auto"/>
          <w:sz w:val="28"/>
          <w:szCs w:val="28"/>
        </w:rPr>
        <w:t>确认后，</w:t>
      </w:r>
      <w:r>
        <w:rPr>
          <w:rFonts w:hint="eastAsia" w:ascii="新宋体" w:hAnsi="新宋体" w:eastAsia="新宋体" w:cs="Times New Roman"/>
          <w:color w:val="auto"/>
          <w:sz w:val="28"/>
          <w:szCs w:val="28"/>
          <w:lang w:val="en-US" w:eastAsia="zh-CN"/>
        </w:rPr>
        <w:t>即可</w:t>
      </w:r>
      <w:r>
        <w:rPr>
          <w:rFonts w:hint="eastAsia" w:ascii="新宋体" w:hAnsi="新宋体" w:eastAsia="新宋体" w:cs="Times New Roman"/>
          <w:color w:val="auto"/>
          <w:sz w:val="28"/>
          <w:szCs w:val="28"/>
        </w:rPr>
        <w:t>于</w:t>
      </w:r>
      <w:r>
        <w:rPr>
          <w:rFonts w:hint="eastAsia" w:ascii="新宋体" w:hAnsi="新宋体" w:eastAsia="新宋体" w:cs="Times New Roman"/>
          <w:color w:val="auto"/>
          <w:sz w:val="28"/>
          <w:szCs w:val="28"/>
          <w:lang w:val="en-US" w:eastAsia="zh-CN"/>
        </w:rPr>
        <w:t>标的</w:t>
      </w:r>
      <w:r>
        <w:rPr>
          <w:rFonts w:hint="eastAsia" w:ascii="新宋体" w:hAnsi="新宋体" w:eastAsia="新宋体" w:cs="Times New Roman"/>
          <w:color w:val="auto"/>
          <w:sz w:val="28"/>
          <w:szCs w:val="28"/>
        </w:rPr>
        <w:t>竞价活动</w:t>
      </w:r>
      <w:r>
        <w:rPr>
          <w:rFonts w:hint="eastAsia" w:ascii="新宋体" w:hAnsi="新宋体" w:eastAsia="新宋体" w:cs="Times New Roman"/>
          <w:color w:val="auto"/>
          <w:sz w:val="28"/>
          <w:szCs w:val="28"/>
          <w:lang w:val="en-US" w:eastAsia="zh-CN"/>
        </w:rPr>
        <w:t>期间</w:t>
      </w:r>
      <w:r>
        <w:rPr>
          <w:rFonts w:hint="eastAsia" w:ascii="新宋体" w:hAnsi="新宋体" w:eastAsia="新宋体" w:cs="Times New Roman"/>
          <w:color w:val="auto"/>
          <w:sz w:val="28"/>
          <w:szCs w:val="28"/>
        </w:rPr>
        <w:t>，登录平台网站</w:t>
      </w:r>
      <w:r>
        <w:rPr>
          <w:rFonts w:hint="eastAsia" w:ascii="新宋体" w:hAnsi="新宋体" w:eastAsia="新宋体" w:cs="Times New Roman"/>
          <w:b w:val="0"/>
          <w:bCs w:val="0"/>
          <w:color w:val="auto"/>
          <w:sz w:val="28"/>
          <w:szCs w:val="28"/>
          <w:lang w:val="en-US" w:eastAsia="zh-CN"/>
        </w:rPr>
        <w:t>进行交易</w:t>
      </w:r>
      <w:r>
        <w:rPr>
          <w:rFonts w:hint="eastAsia" w:ascii="新宋体" w:hAnsi="新宋体" w:eastAsia="新宋体" w:cs="Times New Roman"/>
          <w:color w:val="auto"/>
          <w:sz w:val="28"/>
          <w:szCs w:val="28"/>
        </w:rPr>
        <w:t>。</w:t>
      </w:r>
    </w:p>
    <w:p w14:paraId="461D73EC">
      <w:pPr>
        <w:spacing w:line="520" w:lineRule="exact"/>
        <w:rPr>
          <w:rFonts w:hint="eastAsia"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lang w:eastAsia="zh-CN"/>
        </w:rPr>
        <w:t>（</w:t>
      </w:r>
      <w:r>
        <w:rPr>
          <w:rFonts w:hint="eastAsia" w:ascii="新宋体" w:hAnsi="新宋体" w:eastAsia="新宋体" w:cs="Times New Roman"/>
          <w:b w:val="0"/>
          <w:bCs w:val="0"/>
          <w:color w:val="auto"/>
          <w:sz w:val="28"/>
          <w:szCs w:val="28"/>
        </w:rPr>
        <w:t>https://tunchang.nongjiao.com/</w:t>
      </w:r>
      <w:r>
        <w:rPr>
          <w:rFonts w:hint="eastAsia" w:ascii="新宋体" w:hAnsi="新宋体" w:eastAsia="新宋体" w:cs="Times New Roman"/>
          <w:b w:val="0"/>
          <w:bCs w:val="0"/>
          <w:color w:val="auto"/>
          <w:sz w:val="28"/>
          <w:szCs w:val="28"/>
          <w:lang w:eastAsia="zh-CN"/>
        </w:rPr>
        <w:t>）</w:t>
      </w:r>
    </w:p>
    <w:p w14:paraId="6E9D2A3F">
      <w:pPr>
        <w:spacing w:line="520" w:lineRule="exact"/>
        <w:ind w:firstLine="560" w:firstLineChars="200"/>
        <w:jc w:val="left"/>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1、本次网络竞价标的</w:t>
      </w:r>
      <w:r>
        <w:rPr>
          <w:rFonts w:hint="eastAsia" w:ascii="新宋体" w:hAnsi="新宋体" w:eastAsia="新宋体" w:cs="Times New Roman"/>
          <w:b w:val="0"/>
          <w:bCs w:val="0"/>
          <w:color w:val="auto"/>
          <w:sz w:val="28"/>
          <w:szCs w:val="28"/>
          <w:lang w:val="en-US" w:eastAsia="zh-CN"/>
        </w:rPr>
        <w:t>为:</w:t>
      </w:r>
      <w:r>
        <w:rPr>
          <w:rFonts w:hint="eastAsia" w:ascii="新宋体" w:hAnsi="新宋体" w:eastAsia="新宋体" w:cs="Times New Roman"/>
          <w:b w:val="0"/>
          <w:bCs w:val="0"/>
          <w:color w:val="auto"/>
          <w:sz w:val="28"/>
          <w:szCs w:val="28"/>
          <w:u w:val="single"/>
          <w:lang w:val="en-US" w:eastAsia="zh-CN"/>
        </w:rPr>
        <w:t>屯昌县南坤镇黄岭墟黄新二路44㎡铺面（原复印理发店）出租</w:t>
      </w:r>
      <w:r>
        <w:rPr>
          <w:rFonts w:hint="eastAsia" w:ascii="新宋体" w:hAnsi="新宋体" w:eastAsia="新宋体" w:cs="Times New Roman"/>
          <w:b w:val="0"/>
          <w:bCs w:val="0"/>
          <w:color w:val="auto"/>
          <w:sz w:val="28"/>
          <w:szCs w:val="28"/>
          <w:lang w:val="en-US" w:eastAsia="zh-CN"/>
        </w:rPr>
        <w:t>项目；</w:t>
      </w:r>
      <w:r>
        <w:rPr>
          <w:rFonts w:hint="eastAsia" w:ascii="新宋体" w:hAnsi="新宋体" w:eastAsia="新宋体" w:cs="Times New Roman"/>
          <w:color w:val="auto"/>
          <w:sz w:val="28"/>
          <w:szCs w:val="28"/>
          <w:lang w:val="en-US" w:eastAsia="zh-CN"/>
        </w:rPr>
        <w:t>起拍价为人民币￥</w:t>
      </w:r>
      <w:r>
        <w:rPr>
          <w:rFonts w:hint="eastAsia" w:ascii="新宋体" w:hAnsi="新宋体" w:eastAsia="新宋体" w:cs="Times New Roman"/>
          <w:color w:val="auto"/>
          <w:sz w:val="28"/>
          <w:szCs w:val="28"/>
          <w:u w:val="single"/>
          <w:lang w:val="en-US" w:eastAsia="zh-CN"/>
        </w:rPr>
        <w:t>12364元/年</w:t>
      </w:r>
      <w:r>
        <w:rPr>
          <w:rFonts w:hint="eastAsia" w:ascii="新宋体" w:hAnsi="新宋体" w:eastAsia="新宋体" w:cs="Times New Roman"/>
          <w:color w:val="auto"/>
          <w:sz w:val="28"/>
          <w:szCs w:val="28"/>
          <w:u w:val="none"/>
          <w:lang w:val="en-US" w:eastAsia="zh-CN"/>
        </w:rPr>
        <w:t>。</w:t>
      </w:r>
    </w:p>
    <w:p w14:paraId="72973ED0">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本次网络竞价采用竞价方式（</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阶梯竞价、</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自由竞价）。</w:t>
      </w:r>
    </w:p>
    <w:p w14:paraId="79AB93D8">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color w:val="auto"/>
          <w:sz w:val="28"/>
          <w:szCs w:val="28"/>
        </w:rPr>
        <w:t>。</w:t>
      </w:r>
    </w:p>
    <w:p w14:paraId="08C38E71">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价阶梯为人民币：</w:t>
      </w:r>
      <w:r>
        <w:rPr>
          <w:rFonts w:hint="eastAsia" w:ascii="新宋体" w:hAnsi="新宋体" w:eastAsia="新宋体" w:cs="Times New Roman"/>
          <w:b/>
          <w:bCs/>
          <w:color w:val="FF0000"/>
          <w:sz w:val="28"/>
          <w:szCs w:val="28"/>
          <w:u w:val="single"/>
          <w:lang w:val="en-US" w:eastAsia="zh-CN"/>
        </w:rPr>
        <w:t>100</w:t>
      </w:r>
      <w:r>
        <w:rPr>
          <w:rFonts w:hint="eastAsia" w:ascii="新宋体" w:hAnsi="新宋体" w:eastAsia="新宋体" w:cs="Times New Roman"/>
          <w:b w:val="0"/>
          <w:bCs w:val="0"/>
          <w:color w:val="auto"/>
          <w:sz w:val="28"/>
          <w:szCs w:val="28"/>
        </w:rPr>
        <w:t>元的整数倍（至少</w:t>
      </w:r>
      <w:r>
        <w:rPr>
          <w:rFonts w:hint="eastAsia" w:ascii="新宋体" w:hAnsi="新宋体" w:eastAsia="新宋体" w:cs="Times New Roman"/>
          <w:b w:val="0"/>
          <w:bCs w:val="0"/>
          <w:color w:val="auto"/>
          <w:sz w:val="28"/>
          <w:szCs w:val="28"/>
          <w:lang w:val="en-US" w:eastAsia="zh-CN"/>
        </w:rPr>
        <w:t>1</w:t>
      </w:r>
      <w:r>
        <w:rPr>
          <w:rFonts w:hint="eastAsia" w:ascii="新宋体" w:hAnsi="新宋体" w:eastAsia="新宋体" w:cs="Times New Roman"/>
          <w:b w:val="0"/>
          <w:bCs w:val="0"/>
          <w:color w:val="auto"/>
          <w:sz w:val="28"/>
          <w:szCs w:val="28"/>
        </w:rPr>
        <w:t>00元）。</w:t>
      </w:r>
    </w:p>
    <w:p w14:paraId="4F646994">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5、本次网络竞价</w:t>
      </w:r>
      <w:r>
        <w:rPr>
          <w:rFonts w:hint="eastAsia" w:ascii="新宋体" w:hAnsi="新宋体" w:eastAsia="新宋体" w:cs="Times New Roman"/>
          <w:b w:val="0"/>
          <w:bCs w:val="0"/>
          <w:color w:val="auto"/>
          <w:sz w:val="28"/>
          <w:szCs w:val="28"/>
          <w:lang w:val="en-US" w:eastAsia="zh-CN"/>
        </w:rPr>
        <w:t>由</w:t>
      </w:r>
      <w:r>
        <w:rPr>
          <w:rFonts w:hint="eastAsia" w:ascii="新宋体" w:hAnsi="新宋体" w:eastAsia="新宋体" w:cs="Times New Roman"/>
          <w:b w:val="0"/>
          <w:bCs w:val="0"/>
          <w:color w:val="auto"/>
          <w:sz w:val="28"/>
          <w:szCs w:val="28"/>
        </w:rPr>
        <w:t>自由报价期和延时报价期，两个竞价期组成。</w:t>
      </w:r>
    </w:p>
    <w:p w14:paraId="0D60DC4C">
      <w:pPr>
        <w:spacing w:line="4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6、自由竞价期从</w:t>
      </w:r>
      <w:r>
        <w:rPr>
          <w:rFonts w:hint="eastAsia" w:ascii="新宋体" w:hAnsi="新宋体" w:eastAsia="新宋体" w:cs="Times New Roman"/>
          <w:b w:val="0"/>
          <w:bCs w:val="0"/>
          <w:color w:val="auto"/>
          <w:sz w:val="28"/>
          <w:szCs w:val="28"/>
          <w:u w:val="single"/>
          <w:lang w:val="en-US" w:eastAsia="zh-CN"/>
        </w:rPr>
        <w:t>2026/9/17  10:00:00</w:t>
      </w:r>
      <w:r>
        <w:rPr>
          <w:rFonts w:hint="eastAsia" w:ascii="新宋体" w:hAnsi="新宋体" w:eastAsia="新宋体" w:cs="Times New Roman"/>
          <w:b w:val="0"/>
          <w:bCs w:val="0"/>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b w:val="0"/>
          <w:bCs w:val="0"/>
          <w:color w:val="auto"/>
          <w:sz w:val="28"/>
          <w:szCs w:val="28"/>
        </w:rPr>
        <w:t>分钟。</w:t>
      </w:r>
    </w:p>
    <w:p w14:paraId="0E88208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7、在一个延时竞价周期内如未出现新的有效报价，则当前有效报价方成为该次网络竞价活动的最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报价方。</w:t>
      </w:r>
    </w:p>
    <w:p w14:paraId="2D6B34F9">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8、竞买方须谨慎在网络报价，</w:t>
      </w:r>
      <w:r>
        <w:rPr>
          <w:rFonts w:hint="eastAsia" w:ascii="新宋体" w:hAnsi="新宋体" w:eastAsia="新宋体" w:cs="Times New Roman"/>
          <w:b/>
          <w:bCs/>
          <w:color w:val="auto"/>
          <w:sz w:val="28"/>
          <w:szCs w:val="28"/>
        </w:rPr>
        <w:t>网络报价一经提交</w:t>
      </w:r>
      <w:r>
        <w:rPr>
          <w:rFonts w:hint="eastAsia" w:ascii="新宋体" w:hAnsi="新宋体" w:eastAsia="新宋体" w:cs="Times New Roman"/>
          <w:b w:val="0"/>
          <w:bCs w:val="0"/>
          <w:color w:val="auto"/>
          <w:sz w:val="28"/>
          <w:szCs w:val="28"/>
        </w:rPr>
        <w:t>并经平台记录即视为有效报价，竞买方</w:t>
      </w:r>
      <w:r>
        <w:rPr>
          <w:rFonts w:hint="eastAsia" w:ascii="新宋体" w:hAnsi="新宋体" w:eastAsia="新宋体" w:cs="Times New Roman"/>
          <w:b/>
          <w:bCs/>
          <w:color w:val="auto"/>
          <w:sz w:val="28"/>
          <w:szCs w:val="28"/>
        </w:rPr>
        <w:t>不可变更或撤销</w:t>
      </w:r>
      <w:r>
        <w:rPr>
          <w:rFonts w:hint="eastAsia" w:ascii="新宋体" w:hAnsi="新宋体" w:eastAsia="新宋体" w:cs="Times New Roman"/>
          <w:b w:val="0"/>
          <w:bCs w:val="0"/>
          <w:color w:val="auto"/>
          <w:sz w:val="28"/>
          <w:szCs w:val="28"/>
        </w:rPr>
        <w:t>。</w:t>
      </w:r>
    </w:p>
    <w:p w14:paraId="3F11DEF3">
      <w:pPr>
        <w:spacing w:line="500" w:lineRule="exact"/>
        <w:ind w:firstLine="560" w:firstLineChars="200"/>
        <w:rPr>
          <w:b w:val="0"/>
          <w:bCs w:val="0"/>
          <w:color w:val="auto"/>
        </w:rPr>
      </w:pPr>
      <w:r>
        <w:rPr>
          <w:rFonts w:hint="eastAsia" w:ascii="新宋体" w:hAnsi="新宋体" w:eastAsia="新宋体" w:cs="Times New Roman"/>
          <w:b w:val="0"/>
          <w:bCs w:val="0"/>
          <w:color w:val="auto"/>
          <w:sz w:val="28"/>
          <w:szCs w:val="28"/>
        </w:rPr>
        <w:t>9、首个竞买方初次竞买报价可等于标的起拍价，之后每次竞买报价必须比当前最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报价递增一个</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价幅度以上的价格，且</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价按最小</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价幅度的整数倍加价。只有满足竞价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价幅度等竞买相关条件的报价，系统才予以接受，并即时显示报价结果。</w:t>
      </w:r>
    </w:p>
    <w:p w14:paraId="5D39C7A3">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12、竞拍最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报价的结果以系统记录数据为准。</w:t>
      </w:r>
    </w:p>
    <w:p w14:paraId="523C9F43">
      <w:pPr>
        <w:spacing w:line="50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13、</w:t>
      </w:r>
      <w:r>
        <w:rPr>
          <w:rFonts w:hint="eastAsia" w:ascii="新宋体" w:hAnsi="新宋体" w:eastAsia="新宋体" w:cs="Times New Roman"/>
          <w:b/>
          <w:bCs/>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14、网络竞价系统因不可抗力、软硬件故障、非法入侵、恶意攻击等原因而导致系统异常、竞价活动中断的，当次网络竞价结果无效。平台</w:t>
      </w:r>
      <w:r>
        <w:rPr>
          <w:rFonts w:hint="eastAsia" w:ascii="新宋体" w:hAnsi="新宋体" w:eastAsia="新宋体" w:cs="Times New Roman"/>
          <w:b w:val="0"/>
          <w:bCs w:val="0"/>
          <w:color w:val="auto"/>
          <w:sz w:val="28"/>
          <w:szCs w:val="28"/>
          <w:lang w:val="en-US" w:eastAsia="zh-CN"/>
        </w:rPr>
        <w:t>应</w:t>
      </w:r>
      <w:r>
        <w:rPr>
          <w:rFonts w:hint="eastAsia" w:ascii="新宋体" w:hAnsi="新宋体" w:eastAsia="新宋体" w:cs="Times New Roman"/>
          <w:b w:val="0"/>
          <w:bCs w:val="0"/>
          <w:color w:val="auto"/>
          <w:sz w:val="28"/>
          <w:szCs w:val="28"/>
        </w:rPr>
        <w:t>当</w:t>
      </w:r>
      <w:r>
        <w:rPr>
          <w:rFonts w:hint="eastAsia" w:ascii="新宋体" w:hAnsi="新宋体" w:eastAsia="新宋体" w:cs="Times New Roman"/>
          <w:b w:val="0"/>
          <w:bCs w:val="0"/>
          <w:color w:val="auto"/>
          <w:sz w:val="28"/>
          <w:szCs w:val="28"/>
          <w:lang w:val="en-US" w:eastAsia="zh-CN"/>
        </w:rPr>
        <w:t>立</w:t>
      </w:r>
      <w:r>
        <w:rPr>
          <w:rFonts w:hint="eastAsia" w:ascii="新宋体" w:hAnsi="新宋体" w:eastAsia="新宋体" w:cs="Times New Roman"/>
          <w:b w:val="0"/>
          <w:bCs w:val="0"/>
          <w:color w:val="auto"/>
          <w:sz w:val="28"/>
          <w:szCs w:val="28"/>
        </w:rPr>
        <w:t>即与出租（转让）方协商后续方案，并将结果及时通知各竞买方，平台运营单位有权中止（冻结）</w:t>
      </w:r>
      <w:r>
        <w:rPr>
          <w:rFonts w:hint="eastAsia" w:ascii="新宋体" w:hAnsi="新宋体" w:eastAsia="新宋体" w:cs="Times New Roman"/>
          <w:b w:val="0"/>
          <w:bCs w:val="0"/>
          <w:color w:val="auto"/>
          <w:sz w:val="28"/>
          <w:szCs w:val="28"/>
          <w:lang w:val="en-US" w:eastAsia="zh-CN"/>
        </w:rPr>
        <w:t>有关</w:t>
      </w:r>
      <w:r>
        <w:rPr>
          <w:rFonts w:hint="eastAsia" w:ascii="新宋体" w:hAnsi="新宋体" w:eastAsia="新宋体" w:cs="Times New Roman"/>
          <w:b w:val="0"/>
          <w:bCs w:val="0"/>
          <w:color w:val="auto"/>
          <w:sz w:val="28"/>
          <w:szCs w:val="28"/>
        </w:rPr>
        <w:t>标的物</w:t>
      </w:r>
      <w:r>
        <w:rPr>
          <w:rFonts w:hint="eastAsia" w:ascii="新宋体" w:hAnsi="新宋体" w:eastAsia="新宋体" w:cs="Times New Roman"/>
          <w:b w:val="0"/>
          <w:bCs w:val="0"/>
          <w:color w:val="auto"/>
          <w:sz w:val="28"/>
          <w:szCs w:val="28"/>
          <w:lang w:val="en-US" w:eastAsia="zh-CN"/>
        </w:rPr>
        <w:t>的</w:t>
      </w:r>
      <w:r>
        <w:rPr>
          <w:rFonts w:hint="eastAsia" w:ascii="新宋体" w:hAnsi="新宋体" w:eastAsia="新宋体" w:cs="Times New Roman"/>
          <w:b w:val="0"/>
          <w:bCs w:val="0"/>
          <w:color w:val="auto"/>
          <w:sz w:val="28"/>
          <w:szCs w:val="28"/>
        </w:rPr>
        <w:t>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E5D2F4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21、应价时间截止，所有竞买方均未报价导致本次网络竞价终结的，视为违约，所有竞买方交纳的交易保证金将不予退还。</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0" w:firstLineChars="200"/>
        <w:rPr>
          <w:rFonts w:ascii="新宋体" w:hAnsi="新宋体" w:eastAsia="新宋体" w:cs="Times New Roman"/>
          <w:b w:val="0"/>
          <w:bCs w:val="0"/>
          <w:color w:val="000000" w:themeColor="text1"/>
          <w:sz w:val="28"/>
          <w:szCs w:val="28"/>
          <w14:textFill>
            <w14:solidFill>
              <w14:schemeClr w14:val="tx1"/>
            </w14:solidFill>
          </w14:textFill>
        </w:rPr>
      </w:pPr>
      <w:r>
        <w:rPr>
          <w:rFonts w:hint="eastAsia" w:ascii="新宋体" w:hAnsi="新宋体" w:eastAsia="新宋体" w:cs="Times New Roman"/>
          <w:b w:val="0"/>
          <w:bCs w:val="0"/>
          <w:color w:val="000000" w:themeColor="text1"/>
          <w:sz w:val="28"/>
          <w:szCs w:val="28"/>
          <w14:textFill>
            <w14:solidFill>
              <w14:schemeClr w14:val="tx1"/>
            </w14:solidFill>
          </w14:textFill>
        </w:rPr>
        <w:t>23、服务费收费标准：</w:t>
      </w:r>
    </w:p>
    <w:p w14:paraId="443A47D0">
      <w:pPr>
        <w:spacing w:line="500" w:lineRule="exact"/>
        <w:ind w:firstLine="560" w:firstLineChars="20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b w:val="0"/>
          <w:bCs w:val="0"/>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3735" w:type="dxa"/>
            <w:shd w:val="clear" w:color="auto" w:fill="FFFFFF"/>
            <w:vAlign w:val="center"/>
          </w:tcPr>
          <w:p w14:paraId="0E05CF9B">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3735" w:type="dxa"/>
            <w:shd w:val="clear" w:color="auto" w:fill="FFFFFF"/>
            <w:vAlign w:val="center"/>
          </w:tcPr>
          <w:p w14:paraId="3839C10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3735" w:type="dxa"/>
            <w:shd w:val="clear" w:color="auto" w:fill="FFFFFF"/>
            <w:vAlign w:val="center"/>
          </w:tcPr>
          <w:p w14:paraId="1F2757C3">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0.3</w:t>
            </w:r>
          </w:p>
        </w:tc>
      </w:tr>
    </w:tbl>
    <w:p w14:paraId="7EE09207">
      <w:pPr>
        <w:pStyle w:val="11"/>
        <w:widowControl/>
        <w:shd w:val="clear" w:color="auto" w:fill="FFFFFF"/>
        <w:spacing w:beforeAutospacing="0" w:afterAutospacing="0" w:line="500" w:lineRule="exact"/>
        <w:ind w:firstLine="420"/>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4350" w:type="dxa"/>
            <w:shd w:val="clear" w:color="auto" w:fill="FFFFFF"/>
            <w:vAlign w:val="center"/>
          </w:tcPr>
          <w:p w14:paraId="2CEC2A57">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4350" w:type="dxa"/>
            <w:shd w:val="clear" w:color="auto" w:fill="FFFFFF"/>
            <w:vAlign w:val="center"/>
          </w:tcPr>
          <w:p w14:paraId="0BD4931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4350" w:type="dxa"/>
            <w:shd w:val="clear" w:color="auto" w:fill="FFFFFF"/>
            <w:vAlign w:val="center"/>
          </w:tcPr>
          <w:p w14:paraId="40A99EB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bl>
    <w:p w14:paraId="243BF739">
      <w:pPr>
        <w:pStyle w:val="2"/>
        <w:rPr>
          <w:rFonts w:hint="eastAsia"/>
        </w:rPr>
      </w:pPr>
    </w:p>
    <w:p w14:paraId="13EF4E13">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3994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580" w:type="dxa"/>
            <w:gridSpan w:val="2"/>
            <w:noWrap w:val="0"/>
            <w:vAlign w:val="center"/>
          </w:tcPr>
          <w:p w14:paraId="6F71F18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交易服务费收款账户</w:t>
            </w:r>
          </w:p>
        </w:tc>
      </w:tr>
      <w:tr w14:paraId="6F5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noWrap w:val="0"/>
            <w:vAlign w:val="center"/>
          </w:tcPr>
          <w:p w14:paraId="180C04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户名</w:t>
            </w:r>
          </w:p>
        </w:tc>
        <w:tc>
          <w:tcPr>
            <w:tcW w:w="5967" w:type="dxa"/>
            <w:noWrap w:val="0"/>
            <w:vAlign w:val="center"/>
          </w:tcPr>
          <w:p w14:paraId="79474A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5124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13" w:type="dxa"/>
            <w:noWrap w:val="0"/>
            <w:vAlign w:val="center"/>
          </w:tcPr>
          <w:p w14:paraId="64F4B3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开户行</w:t>
            </w:r>
          </w:p>
        </w:tc>
        <w:tc>
          <w:tcPr>
            <w:tcW w:w="5967" w:type="dxa"/>
            <w:noWrap w:val="0"/>
            <w:vAlign w:val="center"/>
          </w:tcPr>
          <w:p w14:paraId="401CB5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5E4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noWrap w:val="0"/>
            <w:vAlign w:val="center"/>
          </w:tcPr>
          <w:p w14:paraId="1F446D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账号</w:t>
            </w:r>
          </w:p>
        </w:tc>
        <w:tc>
          <w:tcPr>
            <w:tcW w:w="5967" w:type="dxa"/>
            <w:noWrap w:val="0"/>
            <w:vAlign w:val="center"/>
          </w:tcPr>
          <w:p w14:paraId="7DFE50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0E5B88F2">
      <w:pPr>
        <w:spacing w:line="520" w:lineRule="exact"/>
        <w:ind w:firstLine="560" w:firstLineChars="200"/>
        <w:rPr>
          <w:rFonts w:hint="eastAsia" w:ascii="新宋体" w:hAnsi="新宋体" w:eastAsia="新宋体" w:cs="Times New Roman"/>
          <w:color w:val="auto"/>
          <w:sz w:val="28"/>
          <w:szCs w:val="28"/>
        </w:rPr>
      </w:pPr>
    </w:p>
    <w:p w14:paraId="65ED6E0D">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color w:val="auto"/>
          <w:sz w:val="28"/>
          <w:szCs w:val="28"/>
        </w:rPr>
        <w:t>24、未成交的竞买方交易保证金，平台将按《</w:t>
      </w:r>
      <w:r>
        <w:rPr>
          <w:rFonts w:hint="eastAsia" w:ascii="新宋体" w:hAnsi="新宋体" w:eastAsia="新宋体" w:cs="Times New Roman"/>
          <w:color w:val="auto"/>
          <w:sz w:val="28"/>
          <w:szCs w:val="28"/>
          <w:lang w:val="en-US" w:eastAsia="zh-CN"/>
        </w:rPr>
        <w:t>屯昌县农村产权交易中心</w:t>
      </w:r>
      <w:r>
        <w:rPr>
          <w:rFonts w:hint="eastAsia" w:ascii="新宋体" w:hAnsi="新宋体" w:eastAsia="新宋体" w:cs="Times New Roman"/>
          <w:color w:val="auto"/>
          <w:sz w:val="28"/>
          <w:szCs w:val="28"/>
        </w:rPr>
        <w:t>有限公司交易保证金操作规则（试行）》有关规定办理。</w:t>
      </w:r>
      <w:r>
        <w:rPr>
          <w:rFonts w:hint="eastAsia" w:ascii="新宋体" w:hAnsi="新宋体" w:eastAsia="新宋体" w:cs="Times New Roman"/>
          <w:b w:val="0"/>
          <w:bCs w:val="0"/>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25、竞买方未按信息公告内容或交易流程要求履行交易程序的，平台有权扣除交易保证金作为相关方的补偿。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26、交易双方自行办理标的交易价款结算，并进行标的交割。有需要办理变更、过户登记手续的，交易双方凭交易合同等材料到相关部门办理。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27、其他未尽事宜，按照服务协议、交易细则、交易文件及有关规定执行。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28、本《网络竞价须知》有关条款的解释权归平台所有，平台有权根据相关法律、法规进行变更和修订。</w:t>
      </w:r>
    </w:p>
    <w:p w14:paraId="707C359B">
      <w:pPr>
        <w:pStyle w:val="2"/>
        <w:ind w:left="2250" w:hanging="1200"/>
        <w:rPr>
          <w:color w:val="auto"/>
        </w:rPr>
      </w:pPr>
    </w:p>
    <w:p w14:paraId="4AC5A91F">
      <w:pPr>
        <w:rPr>
          <w:rFonts w:hint="eastAsia" w:eastAsiaTheme="minorEastAsia"/>
          <w:color w:val="auto"/>
          <w:lang w:eastAsia="zh-CN"/>
        </w:rPr>
      </w:pPr>
    </w:p>
    <w:p w14:paraId="7C6968E4">
      <w:pPr>
        <w:pStyle w:val="4"/>
        <w:rPr>
          <w:rFonts w:hint="eastAsia"/>
          <w:lang w:eastAsia="zh-CN"/>
        </w:rPr>
      </w:pPr>
    </w:p>
    <w:p w14:paraId="7E626F67">
      <w:pPr>
        <w:pStyle w:val="6"/>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76D8FB59">
      <w:pPr>
        <w:spacing w:line="520" w:lineRule="exact"/>
        <w:ind w:firstLine="3840" w:firstLineChars="1200"/>
        <w:rPr>
          <w:rFonts w:hint="eastAsia" w:ascii="Times New Roman" w:hAnsi="Times New Roman"/>
          <w:color w:val="auto"/>
          <w:sz w:val="32"/>
          <w:szCs w:val="32"/>
        </w:rPr>
      </w:pPr>
    </w:p>
    <w:p w14:paraId="54F72347">
      <w:pPr>
        <w:spacing w:line="520" w:lineRule="exact"/>
        <w:ind w:firstLine="4800" w:firstLineChars="1500"/>
        <w:rPr>
          <w:rFonts w:hint="eastAsia"/>
          <w:lang w:val="en-US" w:eastAsia="zh-CN"/>
        </w:rPr>
      </w:pPr>
      <w:r>
        <w:rPr>
          <w:rFonts w:hint="eastAsia" w:ascii="Times New Roman" w:hAnsi="Times New Roman"/>
          <w:color w:val="auto"/>
          <w:sz w:val="32"/>
          <w:szCs w:val="32"/>
          <w:lang w:val="en-US" w:eastAsia="zh-CN"/>
        </w:rPr>
        <w:t>竞买方</w:t>
      </w:r>
      <w:r>
        <w:rPr>
          <w:rFonts w:hint="eastAsia" w:ascii="Times New Roman" w:hAnsi="Times New Roman"/>
          <w:color w:val="auto"/>
          <w:sz w:val="32"/>
          <w:szCs w:val="32"/>
        </w:rPr>
        <w:t>（</w:t>
      </w:r>
      <w:r>
        <w:rPr>
          <w:rFonts w:hint="eastAsia" w:ascii="Times New Roman" w:hAnsi="Times New Roman"/>
          <w:color w:val="auto"/>
          <w:sz w:val="32"/>
          <w:szCs w:val="32"/>
          <w:lang w:val="en-US" w:eastAsia="zh-CN"/>
        </w:rPr>
        <w:t>签</w:t>
      </w:r>
      <w:r>
        <w:rPr>
          <w:rFonts w:hint="eastAsia" w:ascii="Times New Roman" w:hAnsi="Times New Roman"/>
          <w:color w:val="auto"/>
          <w:sz w:val="32"/>
          <w:szCs w:val="32"/>
        </w:rPr>
        <w:t>章）：</w:t>
      </w:r>
    </w:p>
    <w:p w14:paraId="23E78C29">
      <w:pPr>
        <w:bidi w:val="0"/>
        <w:rPr>
          <w:rFonts w:hint="eastAsia"/>
        </w:rPr>
      </w:pPr>
      <w:r>
        <w:rPr>
          <w:rFonts w:hint="eastAsia"/>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2B8A6AAC">
      <w:pPr>
        <w:pStyle w:val="3"/>
        <w:spacing w:line="240" w:lineRule="auto"/>
        <w:jc w:val="both"/>
        <w:rPr>
          <w:rFonts w:ascii="黑体" w:hAnsi="黑体"/>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val="en-US" w:eastAsia="zh-CN"/>
        </w:rPr>
        <w:t>屯昌县农村产权交易中心</w:t>
      </w:r>
      <w:r>
        <w:rPr>
          <w:rFonts w:hint="eastAsia" w:ascii="Times New Roman" w:hAnsi="Times New Roman"/>
          <w:color w:val="auto"/>
          <w:sz w:val="28"/>
          <w:szCs w:val="28"/>
        </w:rPr>
        <w:t>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屯昌县南坤镇黄岭墟黄新二路44㎡铺面（原复印理发店）出租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屯昌县南坤镇黄岭墟黄新二路44㎡铺面（原复印理发店）出租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屯昌县南坤镇黄岭墟黄新二路44㎡铺面（原复印理发店）出租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屯昌县农村产权交易服务平台</w:t>
      </w:r>
      <w:r>
        <w:rPr>
          <w:rFonts w:hint="eastAsia" w:ascii="新宋体" w:hAnsi="新宋体" w:eastAsia="新宋体" w:cs="Times New Roman"/>
          <w:color w:val="auto"/>
          <w:sz w:val="28"/>
          <w:szCs w:val="28"/>
        </w:rPr>
        <w:t>（https://tunchang.nongjiao.com/，以下简称“平台”）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Times New Roman" w:hAnsi="Times New Roman"/>
          <w:color w:val="auto"/>
          <w:sz w:val="28"/>
          <w:szCs w:val="28"/>
          <w:lang w:val="en-US" w:eastAsia="zh-CN"/>
        </w:rPr>
        <w:t>屯昌县</w:t>
      </w:r>
      <w:r>
        <w:rPr>
          <w:rFonts w:hint="eastAsia" w:ascii="Times New Roman" w:hAnsi="Times New Roman"/>
          <w:color w:val="auto"/>
          <w:sz w:val="28"/>
          <w:szCs w:val="28"/>
        </w:rPr>
        <w:t>农村产权交易平台书面通知要求与出租（转让）方签署交易合同，并按《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2"/>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7C084D5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u w:val="single"/>
        </w:rPr>
        <w:t>　　</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6"/>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val="en-US" w:eastAsia="zh-CN"/>
        </w:rPr>
        <w:t>屯昌县农村产权交易中心</w:t>
      </w:r>
      <w:r>
        <w:rPr>
          <w:rFonts w:hint="eastAsia" w:ascii="仿宋_GB2312" w:hAnsi="仿宋_GB2312" w:eastAsia="仿宋_GB2312" w:cs="仿宋_GB2312"/>
          <w:b/>
          <w:color w:val="auto"/>
          <w:sz w:val="36"/>
          <w:szCs w:val="30"/>
        </w:rPr>
        <w:t>有限公司制</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意向承租（受让）函</w:t>
      </w:r>
    </w:p>
    <w:p w14:paraId="0474E8C9">
      <w:pPr>
        <w:rPr>
          <w:rFonts w:hint="eastAsia" w:ascii="新宋体" w:hAnsi="新宋体" w:eastAsia="新宋体" w:cs="新宋体"/>
          <w:bCs/>
          <w:color w:val="auto"/>
          <w:sz w:val="24"/>
          <w:szCs w:val="24"/>
        </w:rPr>
      </w:pPr>
      <w:r>
        <w:rPr>
          <w:rFonts w:hint="eastAsia" w:ascii="新宋体" w:hAnsi="新宋体" w:eastAsia="新宋体" w:cs="新宋体"/>
          <w:color w:val="auto"/>
          <w:sz w:val="24"/>
          <w:szCs w:val="24"/>
          <w:lang w:val="en-US" w:eastAsia="zh-CN"/>
        </w:rPr>
        <w:t>屯昌县农村产权交易中心</w:t>
      </w:r>
      <w:r>
        <w:rPr>
          <w:rFonts w:hint="eastAsia" w:ascii="新宋体" w:hAnsi="新宋体" w:eastAsia="新宋体" w:cs="新宋体"/>
          <w:color w:val="auto"/>
          <w:sz w:val="24"/>
          <w:szCs w:val="24"/>
        </w:rPr>
        <w:t>有限公司：</w:t>
      </w:r>
    </w:p>
    <w:p w14:paraId="0FE0754C">
      <w:pPr>
        <w:spacing w:line="44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color w:val="auto"/>
          <w:sz w:val="24"/>
          <w:szCs w:val="24"/>
        </w:rPr>
        <w:t>根据有关农村产权流转交易的法律法规及政策规定，本意向方现向</w:t>
      </w:r>
      <w:r>
        <w:rPr>
          <w:rFonts w:hint="eastAsia" w:ascii="新宋体" w:hAnsi="新宋体" w:eastAsia="新宋体" w:cs="新宋体"/>
          <w:bCs/>
          <w:color w:val="auto"/>
          <w:sz w:val="24"/>
          <w:szCs w:val="24"/>
          <w:lang w:val="en-US" w:eastAsia="zh-CN"/>
        </w:rPr>
        <w:t>屯昌县农村产权交易服务平台</w:t>
      </w:r>
      <w:r>
        <w:rPr>
          <w:rFonts w:hint="eastAsia" w:ascii="新宋体" w:hAnsi="新宋体" w:eastAsia="新宋体" w:cs="新宋体"/>
          <w:bCs/>
          <w:color w:val="auto"/>
          <w:sz w:val="24"/>
          <w:szCs w:val="24"/>
        </w:rPr>
        <w:t>（</w:t>
      </w:r>
      <w:r>
        <w:rPr>
          <w:rFonts w:hint="eastAsia" w:ascii="新宋体" w:hAnsi="新宋体" w:eastAsia="新宋体" w:cs="新宋体"/>
          <w:color w:val="auto"/>
          <w:sz w:val="24"/>
          <w:szCs w:val="24"/>
        </w:rPr>
        <w:t>https://tunchang.nongjiao.com/</w:t>
      </w:r>
      <w:r>
        <w:rPr>
          <w:rFonts w:hint="eastAsia" w:ascii="新宋体" w:hAnsi="新宋体" w:eastAsia="新宋体" w:cs="新宋体"/>
          <w:bCs/>
          <w:color w:val="auto"/>
          <w:sz w:val="24"/>
          <w:szCs w:val="24"/>
        </w:rPr>
        <w:t>，以下简称“平台”）申请承租（受让）</w:t>
      </w:r>
      <w:r>
        <w:rPr>
          <w:rFonts w:hint="eastAsia" w:ascii="新宋体" w:hAnsi="新宋体" w:eastAsia="新宋体" w:cs="新宋体"/>
          <w:bCs/>
          <w:color w:val="auto"/>
          <w:sz w:val="24"/>
          <w:szCs w:val="24"/>
          <w:u w:val="single"/>
          <w:lang w:val="en-US" w:eastAsia="zh-CN"/>
        </w:rPr>
        <w:t>屯昌县南坤镇黄岭墟黄新二路44㎡铺面（原复印理发店）出租</w:t>
      </w:r>
      <w:r>
        <w:rPr>
          <w:rFonts w:hint="eastAsia" w:ascii="新宋体" w:hAnsi="新宋体" w:eastAsia="新宋体" w:cs="新宋体"/>
          <w:bCs/>
          <w:color w:val="auto"/>
          <w:sz w:val="24"/>
          <w:szCs w:val="24"/>
        </w:rPr>
        <w:t>，并承诺：</w:t>
      </w:r>
    </w:p>
    <w:p w14:paraId="66E36E10">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1、我方申请承租（受让）该项目，并接受项目公开挂牌信息所载的全部承租（受让）要求，我方承租（受让）行为已经过相应的有效内部决策并得到相应批准。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2、我方具有良好的财务状况、商业信用和农业投资经营能力，符合农村产权相关法律法规及政策对承租（受让）方条件的规定。</w:t>
      </w:r>
    </w:p>
    <w:p w14:paraId="5C980B9B">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3、我方对所填写的内容及提交的所有材料（包括原件、复印件）的真实性、合法性、有效性、完整性承担责任。</w:t>
      </w:r>
    </w:p>
    <w:p w14:paraId="24C8583C">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4、已知悉贵服务平台的交易规则，并充分理解和认可，同意按照贵服务平台《</w:t>
      </w:r>
      <w:r>
        <w:rPr>
          <w:rFonts w:hint="eastAsia" w:ascii="新宋体" w:hAnsi="新宋体" w:eastAsia="新宋体" w:cs="新宋体"/>
          <w:b/>
          <w:color w:val="auto"/>
          <w:sz w:val="24"/>
          <w:szCs w:val="24"/>
          <w:lang w:val="en-US" w:eastAsia="zh-CN"/>
        </w:rPr>
        <w:t>屯昌县农村产权交易服务平台</w:t>
      </w:r>
      <w:r>
        <w:rPr>
          <w:rFonts w:hint="eastAsia" w:ascii="新宋体" w:hAnsi="新宋体" w:eastAsia="新宋体" w:cs="新宋体"/>
          <w:b/>
          <w:color w:val="auto"/>
          <w:sz w:val="24"/>
          <w:szCs w:val="24"/>
        </w:rPr>
        <w:t>产权交易规则（试行）》等相关规定实施农村产权流转活动；信息公告期满后，若只征集到一个意向方，则协议成交；若征集到两个或两个以上意向方，则遵照相关规定，参与网络竞价。</w:t>
      </w:r>
    </w:p>
    <w:p w14:paraId="5B5BCB3D">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5、已知悉并认可贵服务平台的收费项目及标准，同意按规定交纳相关费用。</w:t>
      </w:r>
    </w:p>
    <w:p w14:paraId="0CE152A5">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6、本次意向申请系我方真实意愿，一经作出不予撤回或变更，我方将及时办理相关手续，配合接受资格审核，严格遵守有关交易规则。</w:t>
      </w:r>
    </w:p>
    <w:p w14:paraId="48512979">
      <w:pPr>
        <w:spacing w:line="440" w:lineRule="exact"/>
        <w:ind w:firstLine="482" w:firstLineChars="200"/>
        <w:rPr>
          <w:rFonts w:hint="eastAsia" w:ascii="新宋体" w:hAnsi="新宋体" w:eastAsia="新宋体" w:cs="新宋体"/>
          <w:b/>
          <w:color w:val="auto"/>
          <w:sz w:val="24"/>
          <w:szCs w:val="24"/>
        </w:rPr>
      </w:pPr>
      <w:bookmarkStart w:id="16" w:name="_Toc28981"/>
      <w:bookmarkStart w:id="17" w:name="_Toc13357"/>
      <w:bookmarkStart w:id="18" w:name="_Toc11532"/>
      <w:r>
        <w:rPr>
          <w:rFonts w:hint="eastAsia" w:ascii="新宋体" w:hAnsi="新宋体" w:eastAsia="新宋体" w:cs="新宋体"/>
          <w:b/>
          <w:color w:val="auto"/>
          <w:sz w:val="24"/>
          <w:szCs w:val="24"/>
        </w:rPr>
        <w:t>7、我方承诺不通过其他渠道进行本项目交易。</w:t>
      </w:r>
      <w:bookmarkEnd w:id="16"/>
      <w:bookmarkEnd w:id="17"/>
      <w:bookmarkEnd w:id="18"/>
    </w:p>
    <w:p w14:paraId="3FB280D4">
      <w:pPr>
        <w:pStyle w:val="6"/>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8、我方承诺在项目中标收到《标的竞得书》之后的规定时间内，完成合同签订及相关事宜，合同签订期间禁止将中标项目转让他人。</w:t>
      </w:r>
    </w:p>
    <w:p w14:paraId="53D1B95F">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9、我方承诺按平台规定交纳交易保证金，若我方无故放弃本项目或因我方自身原因放弃本项目的，视为违约，我方交纳的交易保证金将不予退还，作为违约金扣除。</w:t>
      </w:r>
    </w:p>
    <w:p w14:paraId="678865FC">
      <w:pPr>
        <w:pStyle w:val="6"/>
        <w:spacing w:line="440" w:lineRule="exact"/>
        <w:rPr>
          <w:rFonts w:hint="eastAsia" w:ascii="新宋体" w:hAnsi="新宋体" w:eastAsia="新宋体" w:cs="新宋体"/>
          <w:bCs/>
          <w:color w:val="auto"/>
          <w:sz w:val="24"/>
          <w:szCs w:val="24"/>
        </w:rPr>
      </w:pPr>
      <w:bookmarkStart w:id="19" w:name="_Toc7009"/>
      <w:bookmarkStart w:id="20" w:name="_Toc24611"/>
      <w:bookmarkStart w:id="21" w:name="_Toc31003"/>
      <w:r>
        <w:rPr>
          <w:rFonts w:hint="eastAsia" w:ascii="新宋体" w:hAnsi="新宋体" w:eastAsia="新宋体" w:cs="新宋体"/>
          <w:b/>
          <w:color w:val="auto"/>
          <w:sz w:val="24"/>
          <w:szCs w:val="24"/>
        </w:rPr>
        <w:t>10、最终解释权归</w:t>
      </w:r>
      <w:r>
        <w:rPr>
          <w:rFonts w:hint="eastAsia" w:ascii="新宋体" w:hAnsi="新宋体" w:eastAsia="新宋体" w:cs="新宋体"/>
          <w:b/>
          <w:color w:val="auto"/>
          <w:sz w:val="24"/>
          <w:szCs w:val="24"/>
          <w:lang w:val="en-US" w:eastAsia="zh-CN"/>
        </w:rPr>
        <w:t>屯昌县农村产权交易中心</w:t>
      </w:r>
      <w:r>
        <w:rPr>
          <w:rFonts w:hint="eastAsia" w:ascii="新宋体" w:hAnsi="新宋体" w:eastAsia="新宋体" w:cs="新宋体"/>
          <w:b/>
          <w:color w:val="auto"/>
          <w:sz w:val="24"/>
          <w:szCs w:val="24"/>
        </w:rPr>
        <w:t>有限公司。</w:t>
      </w:r>
      <w:bookmarkEnd w:id="19"/>
      <w:bookmarkEnd w:id="20"/>
      <w:bookmarkEnd w:id="21"/>
    </w:p>
    <w:p w14:paraId="14A4E8C0">
      <w:pPr>
        <w:spacing w:line="312" w:lineRule="auto"/>
        <w:ind w:firstLine="3840" w:firstLineChars="1600"/>
        <w:rPr>
          <w:rFonts w:hint="eastAsia" w:ascii="新宋体" w:hAnsi="新宋体" w:eastAsia="新宋体" w:cs="新宋体"/>
          <w:color w:val="auto"/>
          <w:sz w:val="24"/>
          <w:szCs w:val="24"/>
        </w:rPr>
      </w:pPr>
    </w:p>
    <w:p w14:paraId="3C8EB2A6">
      <w:pPr>
        <w:spacing w:line="296" w:lineRule="auto"/>
        <w:ind w:firstLine="3840" w:firstLineChars="1600"/>
        <w:rPr>
          <w:rFonts w:hint="eastAsia" w:ascii="新宋体" w:hAnsi="新宋体" w:eastAsia="新宋体" w:cs="新宋体"/>
          <w:color w:val="auto"/>
          <w:sz w:val="24"/>
          <w:szCs w:val="24"/>
          <w:u w:val="single"/>
        </w:rPr>
      </w:pPr>
      <w:bookmarkStart w:id="22" w:name="_Toc29057"/>
      <w:bookmarkStart w:id="23" w:name="_Toc30986"/>
      <w:bookmarkStart w:id="24" w:name="_Toc4535"/>
      <w:r>
        <w:rPr>
          <w:rFonts w:hint="eastAsia" w:ascii="新宋体" w:hAnsi="新宋体" w:eastAsia="新宋体" w:cs="新宋体"/>
          <w:color w:val="auto"/>
          <w:sz w:val="24"/>
          <w:szCs w:val="24"/>
        </w:rPr>
        <w:t>申 请 单 位（盖章）：</w:t>
      </w:r>
      <w:bookmarkEnd w:id="22"/>
      <w:bookmarkEnd w:id="23"/>
      <w:bookmarkEnd w:id="24"/>
      <w:r>
        <w:rPr>
          <w:rFonts w:hint="eastAsia" w:ascii="新宋体" w:hAnsi="新宋体" w:eastAsia="新宋体" w:cs="新宋体"/>
          <w:color w:val="auto"/>
          <w:sz w:val="24"/>
          <w:szCs w:val="24"/>
          <w:u w:val="single"/>
        </w:rPr>
        <w:t xml:space="preserve">                                                    </w:t>
      </w:r>
    </w:p>
    <w:p w14:paraId="3CD1D0E7">
      <w:pPr>
        <w:spacing w:line="296" w:lineRule="auto"/>
        <w:ind w:firstLine="3840" w:firstLineChars="1600"/>
        <w:outlineLvl w:val="1"/>
        <w:rPr>
          <w:rFonts w:hint="eastAsia" w:ascii="新宋体" w:hAnsi="新宋体" w:eastAsia="新宋体" w:cs="新宋体"/>
          <w:color w:val="auto"/>
          <w:sz w:val="24"/>
          <w:szCs w:val="24"/>
          <w:u w:val="single"/>
        </w:rPr>
      </w:pPr>
      <w:bookmarkStart w:id="25" w:name="_Toc9059"/>
      <w:bookmarkStart w:id="26" w:name="_Toc17490"/>
      <w:r>
        <w:rPr>
          <w:rFonts w:hint="eastAsia" w:ascii="新宋体" w:hAnsi="新宋体" w:eastAsia="新宋体" w:cs="新宋体"/>
          <w:color w:val="auto"/>
          <w:sz w:val="24"/>
          <w:szCs w:val="24"/>
        </w:rPr>
        <w:t>法定代表人（签字）：</w:t>
      </w:r>
      <w:bookmarkEnd w:id="25"/>
      <w:bookmarkEnd w:id="26"/>
      <w:r>
        <w:rPr>
          <w:rFonts w:hint="eastAsia" w:ascii="新宋体" w:hAnsi="新宋体" w:eastAsia="新宋体" w:cs="新宋体"/>
          <w:color w:val="auto"/>
          <w:sz w:val="24"/>
          <w:szCs w:val="24"/>
          <w:u w:val="single"/>
        </w:rPr>
        <w:t xml:space="preserve">                          </w:t>
      </w:r>
    </w:p>
    <w:p w14:paraId="4A8064C5">
      <w:pPr>
        <w:spacing w:line="296" w:lineRule="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                                申 请 日 期：</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日</w:t>
      </w:r>
    </w:p>
    <w:p w14:paraId="2A70383B">
      <w:pPr>
        <w:pStyle w:val="3"/>
        <w:spacing w:line="240" w:lineRule="auto"/>
        <w:rPr>
          <w:rFonts w:ascii="黑体" w:hAnsi="黑体"/>
          <w:color w:val="auto"/>
        </w:rPr>
      </w:pPr>
      <w:bookmarkStart w:id="27" w:name="_Toc12264"/>
      <w:bookmarkStart w:id="28" w:name="_Toc11237"/>
      <w:bookmarkStart w:id="29" w:name="_Toc32101"/>
      <w:bookmarkStart w:id="30" w:name="_Toc13094"/>
      <w:bookmarkStart w:id="31" w:name="_Toc14469"/>
      <w:bookmarkStart w:id="32" w:name="_Toc29841"/>
      <w:bookmarkStart w:id="33" w:name="_Toc4580"/>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spacing w:line="360" w:lineRule="auto"/>
              <w:jc w:val="center"/>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hint="default" w:ascii="宋体" w:hAnsi="宋体" w:eastAsia="宋体"/>
                <w:color w:val="auto"/>
                <w:sz w:val="22"/>
                <w:lang w:val="en-US" w:eastAsia="zh-CN"/>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hint="default" w:ascii="宋体" w:hAnsi="宋体" w:eastAsia="宋体"/>
                <w:color w:val="auto"/>
                <w:sz w:val="22"/>
                <w:lang w:val="en-US" w:eastAsia="zh-CN"/>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hint="default" w:ascii="宋体" w:hAnsi="宋体" w:eastAsia="宋体"/>
                <w:color w:val="auto"/>
                <w:sz w:val="22"/>
                <w:lang w:val="en-US" w:eastAsia="zh-CN"/>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2CC675">
            <w:pPr>
              <w:spacing w:line="360" w:lineRule="auto"/>
              <w:jc w:val="center"/>
              <w:rPr>
                <w:rFonts w:hint="default" w:ascii="宋体" w:hAnsi="宋体" w:eastAsia="宋体"/>
                <w:color w:val="auto"/>
                <w:sz w:val="22"/>
                <w:lang w:val="en-US" w:eastAsia="zh-CN"/>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hint="default" w:ascii="宋体" w:hAnsi="宋体" w:eastAsia="宋体"/>
                <w:color w:val="auto"/>
                <w:sz w:val="22"/>
                <w:lang w:val="en-US" w:eastAsia="zh-CN"/>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hint="default" w:ascii="宋体" w:hAnsi="宋体" w:eastAsia="宋体"/>
                <w:color w:val="auto"/>
                <w:sz w:val="22"/>
                <w:lang w:val="en-US" w:eastAsia="zh-CN"/>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8"/>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04B69615">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377BB91">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16F2920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rPr>
      </w:pPr>
      <w:r>
        <w:rPr>
          <w:rFonts w:hint="eastAsia" w:ascii="新宋体" w:hAnsi="新宋体" w:eastAsia="新宋体" w:cs="新宋体"/>
          <w:b/>
          <w:bCs/>
          <w:color w:val="auto"/>
          <w:sz w:val="36"/>
          <w:szCs w:val="36"/>
          <w:u w:val="single"/>
          <w:lang w:val="en-US" w:eastAsia="zh-CN"/>
        </w:rPr>
        <w:t>屯昌县南坤镇黄岭墟黄新二路44㎡铺面（原复印理发店）出租</w:t>
      </w:r>
      <w:r>
        <w:rPr>
          <w:rFonts w:hint="eastAsia" w:ascii="新宋体" w:hAnsi="新宋体" w:eastAsia="新宋体" w:cs="新宋体"/>
          <w:b/>
          <w:bCs/>
          <w:color w:val="auto"/>
          <w:sz w:val="36"/>
          <w:szCs w:val="36"/>
          <w:lang w:val="en-US" w:eastAsia="zh-CN"/>
        </w:rPr>
        <w:t>交易</w:t>
      </w:r>
      <w:r>
        <w:rPr>
          <w:rFonts w:hint="eastAsia" w:ascii="新宋体" w:hAnsi="新宋体" w:eastAsia="新宋体" w:cs="新宋体"/>
          <w:b/>
          <w:bCs/>
          <w:color w:val="auto"/>
          <w:sz w:val="36"/>
          <w:szCs w:val="36"/>
        </w:rPr>
        <w:t>公示</w:t>
      </w:r>
    </w:p>
    <w:p w14:paraId="5646C5BB">
      <w:pPr>
        <w:pStyle w:val="4"/>
        <w:keepNext/>
        <w:keepLines/>
        <w:pageBreakBefore w:val="0"/>
        <w:widowControl w:val="0"/>
        <w:kinsoku/>
        <w:wordWrap/>
        <w:overflowPunct/>
        <w:topLinePunct w:val="0"/>
        <w:autoSpaceDE/>
        <w:autoSpaceDN/>
        <w:bidi w:val="0"/>
        <w:adjustRightInd/>
        <w:snapToGrid/>
        <w:spacing w:before="0" w:after="0" w:line="590" w:lineRule="exact"/>
        <w:textAlignment w:val="auto"/>
        <w:rPr>
          <w:rFonts w:hint="eastAsia"/>
        </w:rPr>
      </w:pPr>
    </w:p>
    <w:p w14:paraId="12AF693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eastAsiaTheme="minorEastAsia" w:cstheme="minorEastAsia"/>
          <w:color w:val="auto"/>
          <w:sz w:val="32"/>
          <w:szCs w:val="32"/>
          <w:u w:val="single"/>
          <w:lang w:val="en-US" w:eastAsia="zh-CN"/>
        </w:rPr>
        <w:t>屯昌县黄岭供销社</w:t>
      </w:r>
      <w:r>
        <w:rPr>
          <w:rFonts w:hint="eastAsia" w:asciiTheme="minorEastAsia" w:hAnsiTheme="minorEastAsia" w:eastAsiaTheme="minorEastAsia" w:cstheme="minorEastAsia"/>
          <w:color w:val="auto"/>
          <w:sz w:val="32"/>
          <w:szCs w:val="32"/>
        </w:rPr>
        <w:t>召开会议决议，同意</w:t>
      </w:r>
      <w:r>
        <w:rPr>
          <w:rFonts w:hint="eastAsia" w:asciiTheme="minorEastAsia" w:hAnsiTheme="minorEastAsia" w:cstheme="minorEastAsia"/>
          <w:color w:val="auto"/>
          <w:sz w:val="32"/>
          <w:szCs w:val="32"/>
          <w:u w:val="single"/>
          <w:lang w:val="en-US" w:eastAsia="zh-CN"/>
        </w:rPr>
        <w:t>屯昌县南坤镇黄岭墟黄新二路44㎡铺面（原复印理发店）出租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屯昌县农村产权交易服务平台</w:t>
      </w:r>
      <w:r>
        <w:rPr>
          <w:rFonts w:hint="eastAsia" w:asciiTheme="minorEastAsia" w:hAnsiTheme="minorEastAsia" w:eastAsiaTheme="minorEastAsia" w:cstheme="minorEastAsia"/>
          <w:color w:val="auto"/>
          <w:sz w:val="32"/>
          <w:szCs w:val="32"/>
        </w:rPr>
        <w:t>（</w:t>
      </w:r>
      <w:r>
        <w:rPr>
          <w:rFonts w:hint="eastAsia" w:ascii="新宋体" w:hAnsi="新宋体" w:eastAsia="新宋体" w:cs="Times New Roman"/>
          <w:color w:val="auto"/>
          <w:sz w:val="28"/>
          <w:szCs w:val="28"/>
        </w:rPr>
        <w:t>https://tunchang.nongjiao.com/</w:t>
      </w:r>
      <w:r>
        <w:rPr>
          <w:rFonts w:hint="eastAsia" w:asciiTheme="minorEastAsia" w:hAnsiTheme="minorEastAsia" w:eastAsiaTheme="minorEastAsia" w:cstheme="minorEastAsia"/>
          <w:color w:val="auto"/>
          <w:sz w:val="32"/>
          <w:szCs w:val="32"/>
        </w:rPr>
        <w:t>，以下简称“平台”）进行出租交易，依据《</w:t>
      </w:r>
      <w:r>
        <w:rPr>
          <w:rFonts w:hint="eastAsia" w:asciiTheme="minorEastAsia" w:hAnsiTheme="minorEastAsia" w:cstheme="minorEastAsia"/>
          <w:color w:val="auto"/>
          <w:sz w:val="32"/>
          <w:szCs w:val="32"/>
          <w:lang w:val="en-US" w:eastAsia="zh-CN"/>
        </w:rPr>
        <w:t>屯昌县</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firstLine="0" w:firstLineChars="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overflowPunct/>
        <w:topLinePunct w:val="0"/>
        <w:autoSpaceDE/>
        <w:autoSpaceDN/>
        <w:bidi w:val="0"/>
        <w:adjustRightInd/>
        <w:snapToGrid/>
        <w:spacing w:line="590" w:lineRule="exact"/>
        <w:ind w:left="559" w:leftChars="266" w:firstLine="0"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eastAsiaTheme="minorEastAsia" w:cstheme="minorEastAsia"/>
          <w:color w:val="auto"/>
          <w:sz w:val="28"/>
          <w:szCs w:val="28"/>
          <w:lang w:val="en-US" w:eastAsia="zh-CN"/>
        </w:rPr>
        <w:t>屯昌县南坤镇黄岭墟黄新二路44㎡铺面（原复印理发店）出租</w:t>
      </w:r>
    </w:p>
    <w:p w14:paraId="46F55D82">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：屯昌县黄岭供销社</w:t>
      </w:r>
    </w:p>
    <w:p w14:paraId="6C50937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出租面积：44㎡</w:t>
      </w:r>
    </w:p>
    <w:p w14:paraId="0D5908A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出租年限：3年</w:t>
      </w:r>
    </w:p>
    <w:p w14:paraId="0D0DDCAE">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挂网底价：12364元/年</w:t>
      </w:r>
    </w:p>
    <w:p w14:paraId="4DEF106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交易保证金：7418元/年</w:t>
      </w:r>
    </w:p>
    <w:p w14:paraId="5C2E764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报名时间：2026/9/8 10:00:00至2026/9/16 16:00:00</w:t>
      </w:r>
    </w:p>
    <w:p w14:paraId="596FB08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w:t>
      </w:r>
      <w:bookmarkEnd w:id="35"/>
      <w:r>
        <w:rPr>
          <w:rFonts w:hint="eastAsia" w:asciiTheme="minorEastAsia" w:hAnsiTheme="minorEastAsia" w:cstheme="minorEastAsia"/>
          <w:color w:val="auto"/>
          <w:sz w:val="28"/>
          <w:szCs w:val="28"/>
          <w:lang w:val="en-US" w:eastAsia="zh-CN"/>
        </w:rPr>
        <w:t>2026/9/17 10:00:00</w:t>
      </w:r>
    </w:p>
    <w:p w14:paraId="5071C51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一月</w:t>
      </w:r>
      <w:bookmarkStart w:id="36" w:name="_GoBack"/>
      <w:bookmarkEnd w:id="36"/>
      <w:r>
        <w:rPr>
          <w:rFonts w:hint="eastAsia" w:asciiTheme="minorEastAsia" w:hAnsiTheme="minorEastAsia" w:cstheme="minorEastAsia"/>
          <w:color w:val="auto"/>
          <w:sz w:val="28"/>
          <w:szCs w:val="28"/>
          <w:lang w:val="en-US" w:eastAsia="zh-CN"/>
        </w:rPr>
        <w:t>一付</w:t>
      </w:r>
    </w:p>
    <w:p w14:paraId="0452AC30">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cstheme="minorEastAsia"/>
          <w:color w:val="auto"/>
          <w:sz w:val="28"/>
          <w:szCs w:val="28"/>
          <w:lang w:val="en-US" w:eastAsia="zh-CN"/>
        </w:rPr>
        <w:t>周</w:t>
      </w:r>
      <w:r>
        <w:rPr>
          <w:rFonts w:hint="eastAsia" w:asciiTheme="minorEastAsia" w:hAnsiTheme="minorEastAsia" w:eastAsiaTheme="minorEastAsia" w:cstheme="minorEastAsia"/>
          <w:color w:val="auto"/>
          <w:sz w:val="28"/>
          <w:szCs w:val="28"/>
          <w:lang w:val="en-US" w:eastAsia="zh-CN"/>
        </w:rPr>
        <w:t>先生</w:t>
      </w:r>
      <w:r>
        <w:rPr>
          <w:rFonts w:hint="eastAsia" w:asciiTheme="minorEastAsia" w:hAnsiTheme="minorEastAsia" w:cstheme="minorEastAsia"/>
          <w:color w:val="auto"/>
          <w:sz w:val="28"/>
          <w:szCs w:val="28"/>
          <w:lang w:val="en-US" w:eastAsia="zh-CN"/>
        </w:rPr>
        <w:t>19389931804    0898-67814844</w:t>
      </w:r>
    </w:p>
    <w:p w14:paraId="54F7E618">
      <w:pPr>
        <w:keepNext w:val="0"/>
        <w:keepLines w:val="0"/>
        <w:pageBreakBefore w:val="0"/>
        <w:widowControl w:val="0"/>
        <w:kinsoku/>
        <w:wordWrap/>
        <w:overflowPunct/>
        <w:topLinePunct w:val="0"/>
        <w:autoSpaceDE/>
        <w:autoSpaceDN/>
        <w:bidi w:val="0"/>
        <w:adjustRightInd/>
        <w:snapToGrid/>
        <w:spacing w:line="590" w:lineRule="exact"/>
        <w:ind w:firstLine="0" w:firstLineChars="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r>
        <w:rPr>
          <w:rFonts w:hint="eastAsia" w:asciiTheme="minorEastAsia" w:hAnsiTheme="minorEastAsia" w:eastAsiaTheme="minorEastAsia" w:cstheme="minorEastAsia"/>
          <w:color w:val="auto"/>
          <w:sz w:val="28"/>
          <w:szCs w:val="28"/>
        </w:rPr>
        <w:t>（报名热线）</w:t>
      </w:r>
    </w:p>
    <w:p w14:paraId="22AA48A7">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海南省屯昌县屯城镇环东一路东侧昌顺花园6#-B幢102号</w:t>
      </w:r>
    </w:p>
    <w:p w14:paraId="1C36EA52">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项目在平台挂网公告中，欢迎意向客户报名竞投!详情请登录 https://tunchang.nongjiao.com/查看，以网站项目详情页为准。</w:t>
      </w:r>
    </w:p>
    <w:p w14:paraId="27C93056">
      <w:pPr>
        <w:pStyle w:val="6"/>
        <w:keepNext w:val="0"/>
        <w:keepLines w:val="0"/>
        <w:pageBreakBefore w:val="0"/>
        <w:widowControl w:val="0"/>
        <w:kinsoku/>
        <w:overflowPunct/>
        <w:topLinePunct w:val="0"/>
        <w:autoSpaceDE/>
        <w:autoSpaceDN/>
        <w:bidi w:val="0"/>
        <w:adjustRightInd/>
        <w:snapToGrid/>
        <w:spacing w:line="590" w:lineRule="exact"/>
        <w:ind w:left="0" w:leftChars="0" w:firstLine="0" w:firstLineChars="0"/>
        <w:jc w:val="both"/>
        <w:textAlignment w:val="auto"/>
        <w:rPr>
          <w:rFonts w:hint="eastAsia"/>
          <w:b/>
          <w:bCs/>
          <w:color w:val="auto"/>
          <w:sz w:val="28"/>
          <w:szCs w:val="36"/>
        </w:rPr>
      </w:pPr>
    </w:p>
    <w:p w14:paraId="2A9C0B32">
      <w:pPr>
        <w:pStyle w:val="6"/>
        <w:keepNext w:val="0"/>
        <w:keepLines w:val="0"/>
        <w:pageBreakBefore w:val="0"/>
        <w:widowControl w:val="0"/>
        <w:kinsoku/>
        <w:overflowPunct/>
        <w:topLinePunct w:val="0"/>
        <w:autoSpaceDE/>
        <w:autoSpaceDN/>
        <w:bidi w:val="0"/>
        <w:adjustRightInd/>
        <w:snapToGrid/>
        <w:spacing w:line="590" w:lineRule="exact"/>
        <w:ind w:left="0" w:leftChars="0" w:firstLine="562" w:firstLineChars="200"/>
        <w:jc w:val="both"/>
        <w:textAlignment w:val="auto"/>
        <w:rPr>
          <w:rFonts w:hint="eastAsia"/>
          <w:b/>
          <w:bCs/>
          <w:color w:val="auto"/>
          <w:sz w:val="28"/>
          <w:szCs w:val="36"/>
        </w:rPr>
      </w:pPr>
      <w:r>
        <w:rPr>
          <w:rFonts w:hint="eastAsia"/>
          <w:b/>
          <w:bCs/>
          <w:color w:val="auto"/>
          <w:sz w:val="28"/>
          <w:szCs w:val="36"/>
        </w:rPr>
        <w:t>已详细阅读此交易公示，对此交易公示内容无异议。</w:t>
      </w:r>
    </w:p>
    <w:p w14:paraId="318E0460">
      <w:pPr>
        <w:pStyle w:val="6"/>
        <w:keepNext w:val="0"/>
        <w:keepLines w:val="0"/>
        <w:pageBreakBefore w:val="0"/>
        <w:widowControl w:val="0"/>
        <w:kinsoku/>
        <w:overflowPunct/>
        <w:topLinePunct w:val="0"/>
        <w:autoSpaceDE/>
        <w:autoSpaceDN/>
        <w:bidi w:val="0"/>
        <w:adjustRightInd/>
        <w:snapToGrid/>
        <w:spacing w:line="590" w:lineRule="exact"/>
        <w:ind w:firstLine="562" w:firstLineChars="200"/>
        <w:jc w:val="right"/>
        <w:textAlignment w:val="auto"/>
        <w:rPr>
          <w:rFonts w:hint="eastAsia"/>
          <w:b/>
          <w:bCs/>
          <w:color w:val="auto"/>
          <w:sz w:val="28"/>
          <w:szCs w:val="36"/>
        </w:rPr>
      </w:pPr>
    </w:p>
    <w:p w14:paraId="1D3C857A">
      <w:pPr>
        <w:pStyle w:val="6"/>
        <w:keepNext w:val="0"/>
        <w:keepLines w:val="0"/>
        <w:pageBreakBefore w:val="0"/>
        <w:widowControl w:val="0"/>
        <w:kinsoku/>
        <w:wordWrap w:val="0"/>
        <w:overflowPunct/>
        <w:topLinePunct w:val="0"/>
        <w:autoSpaceDE/>
        <w:autoSpaceDN/>
        <w:bidi w:val="0"/>
        <w:adjustRightInd/>
        <w:snapToGrid/>
        <w:spacing w:line="590" w:lineRule="exact"/>
        <w:ind w:firstLine="562" w:firstLineChars="200"/>
        <w:jc w:val="center"/>
        <w:textAlignment w:val="auto"/>
        <w:rPr>
          <w:b/>
          <w:bCs/>
          <w:color w:val="auto"/>
          <w:sz w:val="28"/>
          <w:szCs w:val="36"/>
        </w:rPr>
      </w:pPr>
      <w:r>
        <w:rPr>
          <w:rFonts w:hint="eastAsia"/>
          <w:b/>
          <w:bCs/>
          <w:color w:val="auto"/>
          <w:sz w:val="28"/>
          <w:szCs w:val="36"/>
          <w:lang w:val="en-US" w:eastAsia="zh-CN"/>
        </w:rPr>
        <w:t xml:space="preserve">                             竞买方</w:t>
      </w:r>
      <w:r>
        <w:rPr>
          <w:rFonts w:hint="eastAsia"/>
          <w:b/>
          <w:bCs/>
          <w:color w:val="auto"/>
          <w:sz w:val="28"/>
          <w:szCs w:val="36"/>
        </w:rPr>
        <w:t>（</w:t>
      </w:r>
      <w:r>
        <w:rPr>
          <w:rFonts w:hint="eastAsia"/>
          <w:b/>
          <w:bCs/>
          <w:color w:val="auto"/>
          <w:sz w:val="28"/>
          <w:szCs w:val="36"/>
          <w:lang w:val="en-US" w:eastAsia="zh-CN"/>
        </w:rPr>
        <w:t>签</w:t>
      </w:r>
      <w:r>
        <w:rPr>
          <w:rFonts w:hint="eastAsia"/>
          <w:b/>
          <w:bCs/>
          <w:color w:val="auto"/>
          <w:sz w:val="28"/>
          <w:szCs w:val="36"/>
        </w:rPr>
        <w:t xml:space="preserve">章）：     </w:t>
      </w:r>
    </w:p>
    <w:p w14:paraId="5FCD391D">
      <w:pPr>
        <w:keepNext w:val="0"/>
        <w:keepLines w:val="0"/>
        <w:pageBreakBefore w:val="0"/>
        <w:widowControl w:val="0"/>
        <w:kinsoku/>
        <w:overflowPunct/>
        <w:topLinePunct w:val="0"/>
        <w:autoSpaceDE/>
        <w:autoSpaceDN/>
        <w:bidi w:val="0"/>
        <w:adjustRightInd/>
        <w:snapToGrid/>
        <w:spacing w:line="590" w:lineRule="exact"/>
        <w:ind w:firstLine="562" w:firstLineChars="200"/>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 xml:space="preserve">   </w:t>
      </w:r>
      <w:r>
        <w:rPr>
          <w:rFonts w:hint="eastAsia"/>
          <w:b/>
          <w:bCs/>
          <w:color w:val="auto"/>
          <w:sz w:val="28"/>
          <w:szCs w:val="36"/>
          <w:u w:val="single"/>
        </w:rPr>
        <w:t xml:space="preserve"> </w:t>
      </w:r>
      <w:r>
        <w:rPr>
          <w:rFonts w:hint="eastAsia"/>
          <w:b/>
          <w:bCs/>
          <w:color w:val="auto"/>
          <w:sz w:val="28"/>
          <w:szCs w:val="36"/>
          <w:u w:val="single"/>
          <w:lang w:val="en-US" w:eastAsia="zh-CN"/>
        </w:rPr>
        <w:t xml:space="preserve">    </w:t>
      </w:r>
      <w:r>
        <w:rPr>
          <w:rFonts w:hint="eastAsia"/>
          <w:b/>
          <w:bCs/>
          <w:color w:val="auto"/>
          <w:sz w:val="28"/>
          <w:szCs w:val="36"/>
        </w:rPr>
        <w:t>年</w:t>
      </w:r>
      <w:r>
        <w:rPr>
          <w:rFonts w:hint="eastAsia"/>
          <w:b/>
          <w:bCs/>
          <w:color w:val="auto"/>
          <w:sz w:val="28"/>
          <w:szCs w:val="36"/>
          <w:u w:val="single"/>
          <w:lang w:val="en-US" w:eastAsia="zh-CN"/>
        </w:rPr>
        <w:t xml:space="preserve">    </w:t>
      </w:r>
      <w:r>
        <w:rPr>
          <w:rFonts w:hint="eastAsia"/>
          <w:b/>
          <w:bCs/>
          <w:color w:val="auto"/>
          <w:sz w:val="28"/>
          <w:szCs w:val="36"/>
        </w:rPr>
        <w:t>月</w:t>
      </w:r>
      <w:r>
        <w:rPr>
          <w:rFonts w:hint="eastAsia"/>
          <w:b/>
          <w:bCs/>
          <w:color w:val="auto"/>
          <w:sz w:val="28"/>
          <w:szCs w:val="36"/>
          <w:u w:val="single"/>
          <w:lang w:val="en-US" w:eastAsia="zh-CN"/>
        </w:rPr>
        <w:t xml:space="preserve">    </w:t>
      </w:r>
      <w:r>
        <w:rPr>
          <w:rFonts w:hint="eastAsia"/>
          <w:b/>
          <w:bCs/>
          <w:color w:val="auto"/>
          <w:sz w:val="28"/>
          <w:szCs w:val="36"/>
        </w:rPr>
        <w:t xml:space="preserve">日  </w:t>
      </w:r>
    </w:p>
    <w:p w14:paraId="32F9712E">
      <w:pPr>
        <w:pStyle w:val="8"/>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40C2DF5-55C2-491C-9FC0-B94E8489ED8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C31CF2DB-7CCC-4A2C-86D7-28C7F038FFBC}"/>
  </w:font>
  <w:font w:name="仿宋_GB2312">
    <w:panose1 w:val="02010609030101010101"/>
    <w:charset w:val="86"/>
    <w:family w:val="modern"/>
    <w:pitch w:val="default"/>
    <w:sig w:usb0="00000001" w:usb1="080E0000" w:usb2="00000000" w:usb3="00000000" w:csb0="00040000" w:csb1="00000000"/>
    <w:embedRegular r:id="rId3" w:fontKey="{65E7CBC6-F2B9-403C-90BB-A5C532B2963A}"/>
  </w:font>
  <w:font w:name="方正小标宋简体">
    <w:panose1 w:val="02000000000000000000"/>
    <w:charset w:val="86"/>
    <w:family w:val="auto"/>
    <w:pitch w:val="default"/>
    <w:sig w:usb0="00000001" w:usb1="08000000" w:usb2="00000000" w:usb3="00000000" w:csb0="00040000" w:csb1="00000000"/>
    <w:embedRegular r:id="rId4" w:fontKey="{91549D4C-47BB-4B95-A005-97454CE0B4B0}"/>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FD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265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B265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70C7">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67AC6"/>
    <w:rsid w:val="00B57B36"/>
    <w:rsid w:val="00CD7376"/>
    <w:rsid w:val="00E03B4E"/>
    <w:rsid w:val="00E541D7"/>
    <w:rsid w:val="013B2B96"/>
    <w:rsid w:val="02670C2E"/>
    <w:rsid w:val="03F37316"/>
    <w:rsid w:val="042277FF"/>
    <w:rsid w:val="04A85B3B"/>
    <w:rsid w:val="07B63111"/>
    <w:rsid w:val="08C35008"/>
    <w:rsid w:val="0A8721A0"/>
    <w:rsid w:val="0B7B2128"/>
    <w:rsid w:val="0B985CD3"/>
    <w:rsid w:val="0E564FED"/>
    <w:rsid w:val="0E68572F"/>
    <w:rsid w:val="0E844FD8"/>
    <w:rsid w:val="0E9816ED"/>
    <w:rsid w:val="102F0E28"/>
    <w:rsid w:val="10396E71"/>
    <w:rsid w:val="11DE52CB"/>
    <w:rsid w:val="11FB06D4"/>
    <w:rsid w:val="13100E81"/>
    <w:rsid w:val="138B0016"/>
    <w:rsid w:val="14DE13CB"/>
    <w:rsid w:val="150A3847"/>
    <w:rsid w:val="164D1EE7"/>
    <w:rsid w:val="18E10F33"/>
    <w:rsid w:val="1A0C35CC"/>
    <w:rsid w:val="1BC73AA5"/>
    <w:rsid w:val="1C3F00EA"/>
    <w:rsid w:val="2163678E"/>
    <w:rsid w:val="21D0732F"/>
    <w:rsid w:val="2371316C"/>
    <w:rsid w:val="23C4301C"/>
    <w:rsid w:val="23C7578D"/>
    <w:rsid w:val="24475A26"/>
    <w:rsid w:val="264204D7"/>
    <w:rsid w:val="2741574C"/>
    <w:rsid w:val="285A0FDC"/>
    <w:rsid w:val="28CE0A77"/>
    <w:rsid w:val="2C765212"/>
    <w:rsid w:val="2D2D1D13"/>
    <w:rsid w:val="2DC931AE"/>
    <w:rsid w:val="2E1172D3"/>
    <w:rsid w:val="30B56AE1"/>
    <w:rsid w:val="31124E12"/>
    <w:rsid w:val="32375E5F"/>
    <w:rsid w:val="327E6635"/>
    <w:rsid w:val="32F36A04"/>
    <w:rsid w:val="3516702D"/>
    <w:rsid w:val="356B5D48"/>
    <w:rsid w:val="37DE46B0"/>
    <w:rsid w:val="37E601A9"/>
    <w:rsid w:val="382927E2"/>
    <w:rsid w:val="386E6406"/>
    <w:rsid w:val="39204F82"/>
    <w:rsid w:val="3A7A2C02"/>
    <w:rsid w:val="3A9F7B13"/>
    <w:rsid w:val="3C790024"/>
    <w:rsid w:val="3EE84C2D"/>
    <w:rsid w:val="3F171CEB"/>
    <w:rsid w:val="3F595A04"/>
    <w:rsid w:val="412C3FBC"/>
    <w:rsid w:val="41730E45"/>
    <w:rsid w:val="43315BEC"/>
    <w:rsid w:val="433672AA"/>
    <w:rsid w:val="43AD1C7C"/>
    <w:rsid w:val="43CA2EA3"/>
    <w:rsid w:val="43E145E7"/>
    <w:rsid w:val="44912C24"/>
    <w:rsid w:val="47C03328"/>
    <w:rsid w:val="48601C27"/>
    <w:rsid w:val="4C122427"/>
    <w:rsid w:val="4D440E1C"/>
    <w:rsid w:val="4DC33073"/>
    <w:rsid w:val="4E3F7559"/>
    <w:rsid w:val="4ECE0172"/>
    <w:rsid w:val="51370C29"/>
    <w:rsid w:val="51516E47"/>
    <w:rsid w:val="51A46EB2"/>
    <w:rsid w:val="52531DCC"/>
    <w:rsid w:val="52E5627D"/>
    <w:rsid w:val="536C0158"/>
    <w:rsid w:val="56073B1A"/>
    <w:rsid w:val="5A663955"/>
    <w:rsid w:val="5CF93C67"/>
    <w:rsid w:val="5D823C9A"/>
    <w:rsid w:val="5E084751"/>
    <w:rsid w:val="6180235A"/>
    <w:rsid w:val="61A86601"/>
    <w:rsid w:val="62AC763E"/>
    <w:rsid w:val="64515E2E"/>
    <w:rsid w:val="64D61FAB"/>
    <w:rsid w:val="65352C51"/>
    <w:rsid w:val="66C801A8"/>
    <w:rsid w:val="67281D31"/>
    <w:rsid w:val="69462C0F"/>
    <w:rsid w:val="69C23EC4"/>
    <w:rsid w:val="6C0E3CC0"/>
    <w:rsid w:val="6C2445E8"/>
    <w:rsid w:val="6D1B3300"/>
    <w:rsid w:val="6E49135B"/>
    <w:rsid w:val="6F71073E"/>
    <w:rsid w:val="70D80ED7"/>
    <w:rsid w:val="730A3838"/>
    <w:rsid w:val="73ED1367"/>
    <w:rsid w:val="746621ED"/>
    <w:rsid w:val="77E20C53"/>
    <w:rsid w:val="786A7F85"/>
    <w:rsid w:val="791505B4"/>
    <w:rsid w:val="79896E8C"/>
    <w:rsid w:val="7A24720F"/>
    <w:rsid w:val="7A7C6A82"/>
    <w:rsid w:val="7BFC47DB"/>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6">
    <w:name w:val="Normal Indent"/>
    <w:basedOn w:val="1"/>
    <w:qFormat/>
    <w:uiPriority w:val="0"/>
    <w:pPr>
      <w:ind w:firstLine="420"/>
    </w:pPr>
    <w:rPr>
      <w:rFonts w:ascii="Verdana" w:hAnsi="Verdana"/>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5"/>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10"/>
    <w:qFormat/>
    <w:uiPriority w:val="0"/>
    <w:rPr>
      <w:rFonts w:asciiTheme="minorHAnsi" w:hAnsiTheme="minorHAnsi" w:eastAsiaTheme="minorEastAsia" w:cstheme="minorBidi"/>
      <w:kern w:val="2"/>
      <w:sz w:val="18"/>
      <w:szCs w:val="18"/>
    </w:rPr>
  </w:style>
  <w:style w:type="character" w:customStyle="1" w:styleId="20">
    <w:name w:val="页脚 字符"/>
    <w:basedOn w:val="13"/>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6463</Words>
  <Characters>6918</Characters>
  <Lines>59</Lines>
  <Paragraphs>16</Paragraphs>
  <TotalTime>0</TotalTime>
  <ScaleCrop>false</ScaleCrop>
  <LinksUpToDate>false</LinksUpToDate>
  <CharactersWithSpaces>7471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叫醒耳朵</cp:lastModifiedBy>
  <cp:lastPrinted>2025-08-15T02:40:00Z</cp:lastPrinted>
  <dcterms:modified xsi:type="dcterms:W3CDTF">2026-09-07T08:42:34Z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A53F89D9FF3E45AEBC6DEADDA53E60D3_13</vt:lpwstr>
  </property>
  <property fmtid="{D5CDD505-2E9C-101B-9397-08002B2CF9AE}" pid="4" name="KSOTemplateDocerSaveRecord">
    <vt:lpwstr>eyJoZGlkIjoiYmUwMmNiMjZkOWEwODVmMTZhNjYwNzMxY2Y1ODI5NWEiLCJ1c2VySWQiOiI5ODE2OTMzOTYifQ==</vt:lpwstr>
  </property>
</Properties>
</file>