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480" w:afterAutospacing="0" w:line="560" w:lineRule="exact"/>
        <w:ind w:left="0" w:right="0" w:firstLine="979" w:firstLineChars="200"/>
        <w:jc w:val="center"/>
        <w:textAlignment w:val="auto"/>
        <w:rPr>
          <w:rFonts w:hint="eastAsia" w:ascii="黑体" w:hAnsi="黑体" w:eastAsia="黑体" w:cs="黑体"/>
          <w:b/>
          <w:bCs/>
          <w:i w:val="0"/>
          <w:iCs w:val="0"/>
          <w:caps w:val="0"/>
          <w:color w:val="1E1E1E"/>
          <w:spacing w:val="24"/>
          <w:sz w:val="44"/>
          <w:szCs w:val="44"/>
        </w:rPr>
      </w:pPr>
      <w:r>
        <w:rPr>
          <w:rFonts w:hint="eastAsia" w:ascii="黑体" w:hAnsi="黑体" w:eastAsia="黑体" w:cs="黑体"/>
          <w:b/>
          <w:bCs/>
          <w:i w:val="0"/>
          <w:iCs w:val="0"/>
          <w:caps w:val="0"/>
          <w:color w:val="1E1E1E"/>
          <w:spacing w:val="24"/>
          <w:kern w:val="0"/>
          <w:sz w:val="44"/>
          <w:szCs w:val="44"/>
          <w:lang w:val="en-US" w:eastAsia="zh-CN" w:bidi="ar"/>
        </w:rPr>
        <w:t>风险告知书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40" w:afterAutospacing="0" w:line="56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</w:pP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1E1E1E"/>
          <w:spacing w:val="0"/>
          <w:kern w:val="0"/>
          <w:sz w:val="32"/>
          <w:szCs w:val="32"/>
          <w:lang w:val="en-US" w:eastAsia="zh-CN" w:bidi="ar"/>
        </w:rPr>
        <w:t>致：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kern w:val="0"/>
          <w:sz w:val="32"/>
          <w:szCs w:val="32"/>
          <w:lang w:val="en-US" w:eastAsia="zh-CN" w:bidi="ar"/>
        </w:rPr>
        <w:t>全体投标人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05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  <w:t>鉴于：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05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  <w:t>1. 我司（海南天然橡胶产业集团股份有限公司新中分公司）拟将位于海南省万宁市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  <w:u w:val="single"/>
          <w:lang w:val="en-US" w:eastAsia="zh-CN"/>
        </w:rPr>
        <w:t>新中片区15队、16队、18队、23队、24队、46队、50队、上溪队、南林片区红光队、红卫队、立新队、猛进队等12个生产队共6683.52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  <w:t>亩胶园土地（下称“标的土地”）通过海南省农村产权交易平台进行公开招租。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05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  <w:t>2. 为维护招标投标活动的公开、公平、公正，保障贵方充分了解标的土地现状及潜在风险后自主决策，我司特就标的土地的现状及风险正式告知如下。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68" w:beforeAutospacing="0" w:after="63" w:afterAutospacing="0" w:line="560" w:lineRule="exact"/>
        <w:ind w:left="0"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1E1E1E"/>
          <w:spacing w:val="0"/>
          <w:sz w:val="32"/>
          <w:szCs w:val="32"/>
        </w:rPr>
      </w:pP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1E1E1E"/>
          <w:spacing w:val="0"/>
          <w:sz w:val="32"/>
          <w:szCs w:val="32"/>
        </w:rPr>
        <w:t>一、标的土地现状特别提示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05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  <w:t>1. </w:t>
      </w: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1E1E1E"/>
          <w:spacing w:val="0"/>
          <w:sz w:val="32"/>
          <w:szCs w:val="32"/>
        </w:rPr>
        <w:t>地上附着物及构筑物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  <w:t>：用地红线范围内现存有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  <w:u w:val="single"/>
        </w:rPr>
        <w:t>私人种植的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  <w:u w:val="single"/>
          <w:lang w:val="en-US" w:eastAsia="zh-CN"/>
        </w:rPr>
        <w:t>槟榔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  <w:u w:val="single"/>
        </w:rPr>
        <w:t>等青苗作物，以及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  <w:u w:val="single"/>
          <w:lang w:val="en-US" w:eastAsia="zh-CN"/>
        </w:rPr>
        <w:t>坟墓、房屋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  <w:u w:val="single"/>
        </w:rPr>
        <w:t>等构筑物</w:t>
      </w:r>
      <w:r>
        <w:commentReference w:id="0"/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  <w:t>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05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  <w:t>2. </w:t>
      </w: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1E1E1E"/>
          <w:spacing w:val="0"/>
          <w:sz w:val="32"/>
          <w:szCs w:val="32"/>
        </w:rPr>
        <w:t>既有合同权益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  <w:lang w:val="en-US" w:eastAsia="zh-CN"/>
        </w:rPr>
        <w:t>虽目前未发现，但不排除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  <w:t>用地范围内部分区域</w:t>
      </w: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1E1E1E"/>
          <w:spacing w:val="0"/>
          <w:sz w:val="32"/>
          <w:szCs w:val="32"/>
        </w:rPr>
        <w:t>可能存在</w:t>
      </w:r>
      <w:r>
        <w:rPr>
          <w:rStyle w:val="8"/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1E1E1E"/>
          <w:spacing w:val="0"/>
          <w:sz w:val="32"/>
          <w:szCs w:val="32"/>
          <w:lang w:val="en-US" w:eastAsia="zh-CN"/>
        </w:rPr>
        <w:t>早期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  <w:t>已签订生效的土地承包/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  <w:lang w:val="en-US" w:eastAsia="zh-CN"/>
        </w:rPr>
        <w:t>租赁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  <w:t>合同，存有既定第三方合同权益。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05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  <w:t>3. </w:t>
      </w: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1E1E1E"/>
          <w:spacing w:val="0"/>
          <w:sz w:val="32"/>
          <w:szCs w:val="32"/>
        </w:rPr>
        <w:t>土地交付安排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  <w:t>：标的土地按现状交付。土地交付时间以项目办理完采伐证后，给予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  <w:t>个月的采伐木材时间，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  <w:t>个月后以项目地块红线图边界为交地依据，开始收取土地租金。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68" w:beforeAutospacing="0" w:after="63" w:afterAutospacing="0" w:line="560" w:lineRule="exact"/>
        <w:ind w:left="0"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1E1E1E"/>
          <w:spacing w:val="0"/>
          <w:sz w:val="32"/>
          <w:szCs w:val="32"/>
        </w:rPr>
      </w:pP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1E1E1E"/>
          <w:spacing w:val="0"/>
          <w:sz w:val="32"/>
          <w:szCs w:val="32"/>
        </w:rPr>
        <w:t>二、潜在风险告知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05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  <w:t>贵方在参与竞标及后续履约过程中，可能面临但不限于以下风险：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3" w:afterAutospacing="0" w:line="560" w:lineRule="exact"/>
        <w:ind w:left="420"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</w:pP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1E1E1E"/>
          <w:spacing w:val="0"/>
          <w:sz w:val="32"/>
          <w:szCs w:val="32"/>
        </w:rPr>
        <w:t>1. 权益纠纷与协调风险：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  <w:t>标的土地上的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  <w:lang w:val="en-US" w:eastAsia="zh-CN"/>
        </w:rPr>
        <w:t>青苗及附着物所有权人或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  <w:t>家属、既有土地合同承租方等第三方均享有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  <w:t>相关合法权益，各方诉求不一。在贵方取得承租权后，极有可能因权益处置问题引发争议，导致阻挠施工、信访、诉讼等情况发生，直接影响项目的正常推进。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3" w:afterAutospacing="0" w:line="560" w:lineRule="exact"/>
        <w:ind w:left="420"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</w:pP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1E1E1E"/>
          <w:spacing w:val="0"/>
          <w:sz w:val="32"/>
          <w:szCs w:val="32"/>
        </w:rPr>
        <w:t>2. 全部经济成本风险：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  <w:t>贵方中标并签订正式合同后，为清理青苗、迁移坟墓、解除或衔接既有土地合同、处理相关方诉求等所产生的一切费用（包括但不限于人员安置费、迁移费、作物处置费、合同相关补偿款、协调维稳费、律师费、诉讼费等），</w:t>
      </w: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1E1E1E"/>
          <w:spacing w:val="0"/>
          <w:sz w:val="32"/>
          <w:szCs w:val="32"/>
        </w:rPr>
        <w:t>全部由贵方独立承担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  <w:t>。我司不承担任何形式的费用。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3" w:afterAutospacing="0" w:line="560" w:lineRule="exact"/>
        <w:ind w:left="420"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</w:pP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1E1E1E"/>
          <w:spacing w:val="0"/>
          <w:sz w:val="32"/>
          <w:szCs w:val="32"/>
        </w:rPr>
        <w:t>3. 工期延误与经营损失风险：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  <w:t>若上述遗留问题未能由贵方妥善、及时处理，将直接阻碍场地平整、设备进场、作物种植等关键环节，大概率造成工期延误及后续经营损失，该等损失由贵方自行承担，与我司无关。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3" w:afterAutospacing="0" w:line="560" w:lineRule="exact"/>
        <w:ind w:left="420"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</w:pP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1E1E1E"/>
          <w:spacing w:val="0"/>
          <w:sz w:val="32"/>
          <w:szCs w:val="32"/>
        </w:rPr>
        <w:t>4. 法律合规风险：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  <w:t>若贵方在处理地上附着物、协调既有合同关系时，未依法依规进行（如未经权利人同意擅自移除、未达成协议强行施工等），将可能引发民事侵权赔偿、行政处罚乃至其他法律责任。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3" w:afterAutospacing="0" w:line="560" w:lineRule="exact"/>
        <w:ind w:left="420"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</w:pP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1E1E1E"/>
          <w:spacing w:val="0"/>
          <w:sz w:val="32"/>
          <w:szCs w:val="32"/>
        </w:rPr>
        <w:t>5. 按现状交付风险：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  <w:t>标的土地按现状交付，项目用地范围内所有林下青苗、地面附着物清理、补偿及被占地回收工作，均全部由承租方全权负责，清理过程中产生费用由承租方自行承担。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68" w:beforeAutospacing="0" w:after="63" w:afterAutospacing="0" w:line="560" w:lineRule="exact"/>
        <w:ind w:left="0"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1E1E1E"/>
          <w:spacing w:val="0"/>
          <w:sz w:val="32"/>
          <w:szCs w:val="32"/>
        </w:rPr>
      </w:pP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1E1E1E"/>
          <w:spacing w:val="0"/>
          <w:sz w:val="32"/>
          <w:szCs w:val="32"/>
        </w:rPr>
        <w:t>三、投标人承诺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05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  <w:t>贵方一旦参与本次投标，即视为已充分理解并自愿接受以下承诺：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3" w:afterAutospacing="0" w:line="560" w:lineRule="exact"/>
        <w:ind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</w:pP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1E1E1E"/>
          <w:spacing w:val="0"/>
          <w:sz w:val="32"/>
          <w:szCs w:val="32"/>
        </w:rPr>
        <w:t>1.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  <w:t> 贵方已自行前往标的土地现场实地踏勘，现场查看地块地形地貌、四至边界、土壤条件，充分知悉地块内青苗作物、私自占地、违规搭建简易棚、地上杂物、周边环境、通行条件等标的全部现状。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3" w:afterAutospacing="0" w:line="560" w:lineRule="exact"/>
        <w:ind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</w:pP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1E1E1E"/>
          <w:spacing w:val="0"/>
          <w:sz w:val="32"/>
          <w:szCs w:val="32"/>
        </w:rPr>
        <w:t>2.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  <w:t> 贵方已完全理解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  <w:lang w:val="en-US" w:eastAsia="zh-CN"/>
        </w:rPr>
        <w:t>竞标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  <w:t>公告、招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  <w:lang w:val="en-US" w:eastAsia="zh-CN"/>
        </w:rPr>
        <w:t>标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  <w:t>文件全部条款，不存在信息误解，后续不得以标的现场现状、地上附着物等任何理由拒签合同、拒缴租金、索要补偿、违约弃标。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3" w:afterAutospacing="0" w:line="560" w:lineRule="exact"/>
        <w:ind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</w:pP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1E1E1E"/>
          <w:spacing w:val="0"/>
          <w:sz w:val="32"/>
          <w:szCs w:val="32"/>
        </w:rPr>
        <w:t>3.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  <w:t> 贵方中标后严格按照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  <w:lang w:val="en-US" w:eastAsia="zh-CN"/>
        </w:rPr>
        <w:t>竞标公告、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  <w:t>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  <w:lang w:val="en-US" w:eastAsia="zh-CN"/>
        </w:rPr>
        <w:t>标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  <w:t>文件要求履行全部义务，自行承担现场清场带来的所有风险、费用与法律责任。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63" w:afterAutospacing="0" w:line="560" w:lineRule="exact"/>
        <w:ind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</w:pP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1E1E1E"/>
          <w:spacing w:val="0"/>
          <w:sz w:val="32"/>
          <w:szCs w:val="32"/>
        </w:rPr>
        <w:t>4.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  <w:t> 贵方承诺不以标的土地存在上述瑕疵或发生相关纠纷为由，拒绝签订或履行《土地租赁合同》、要求降低租金、延长租期、置换土地、要求我司承担任何责任，或在竞标成功后单方放弃。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68" w:beforeAutospacing="0" w:after="63" w:afterAutospacing="0" w:line="560" w:lineRule="exact"/>
        <w:ind w:left="0"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1E1E1E"/>
          <w:spacing w:val="0"/>
          <w:sz w:val="32"/>
          <w:szCs w:val="32"/>
        </w:rPr>
      </w:pP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1E1E1E"/>
          <w:spacing w:val="0"/>
          <w:sz w:val="32"/>
          <w:szCs w:val="32"/>
        </w:rPr>
        <w:t>四、重要声明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05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  <w:t>1. 本告知书是本次招租文件的组成部分，与招租公告、招标文件具有同等法律效力。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05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  <w:t>2. 本告知书的发布及确认，不视为我司对标的土地可能存在的任何瑕疵或风险的担保或承诺。我司按现状提供土地，贵方按现状自主决定是否参与竞标及承租。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05" w:afterAutospacing="0" w:line="560" w:lineRule="exac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  <w:t>3. 贵方在参与竞标前，务必再次自行审慎评估所有风险，并可独立寻求专业法律意见。一旦参与投标，即表明贵方已完全知悉并自愿承担全部风险与责任。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05" w:afterAutospacing="0" w:line="560" w:lineRule="exact"/>
        <w:ind w:left="0"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</w:pP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1E1E1E"/>
          <w:spacing w:val="0"/>
          <w:sz w:val="32"/>
          <w:szCs w:val="32"/>
        </w:rPr>
        <w:t>4. 违约责任特别提示：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  <w:t>贵方一旦中标，如有反悔（包括但不限于无正当理由拒签合同、在签订合同时提出附加条件、不按招标文件要求提交履约保证金等），即构成违约，我司有权不予退还贵方已缴纳的投标（竞价）保证金。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05" w:afterAutospacing="0" w:line="560" w:lineRule="exact"/>
        <w:ind w:left="0"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</w:pPr>
      <w:r>
        <w:rPr>
          <w:rStyle w:val="8"/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1E1E1E"/>
          <w:spacing w:val="0"/>
          <w:sz w:val="32"/>
          <w:szCs w:val="32"/>
        </w:rPr>
        <w:t>请贵方仔细阅读上述全部条款。贵方提交投标文件即视为已完全知悉并接受本告知书全部内容，自愿承担相应风险与责任。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106" w:firstLine="640" w:firstLineChars="200"/>
        <w:jc w:val="righ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</w:rPr>
      </w:pPr>
    </w:p>
    <w:p>
      <w:pPr>
        <w:spacing w:line="520" w:lineRule="exact"/>
        <w:rPr>
          <w:rFonts w:hint="eastAsia" w:ascii="Times New Roman" w:hAnsi="Times New Roman"/>
          <w:color w:val="auto"/>
          <w:sz w:val="32"/>
          <w:szCs w:val="32"/>
        </w:rPr>
      </w:pPr>
    </w:p>
    <w:p>
      <w:pPr>
        <w:spacing w:line="520" w:lineRule="exact"/>
        <w:rPr>
          <w:rFonts w:hint="eastAsia" w:ascii="Times New Roman" w:hAnsi="Times New Roman"/>
          <w:color w:val="auto"/>
          <w:sz w:val="32"/>
          <w:szCs w:val="32"/>
        </w:rPr>
      </w:pPr>
    </w:p>
    <w:p>
      <w:pPr>
        <w:spacing w:line="520" w:lineRule="exact"/>
        <w:ind w:firstLine="640" w:firstLineChars="200"/>
        <w:rPr>
          <w:color w:val="auto"/>
        </w:rPr>
      </w:pPr>
      <w:r>
        <w:rPr>
          <w:rFonts w:hint="eastAsia" w:ascii="Times New Roman" w:hAnsi="Times New Roman"/>
          <w:color w:val="auto"/>
          <w:sz w:val="32"/>
          <w:szCs w:val="32"/>
          <w:lang w:val="en-US" w:eastAsia="zh-CN"/>
        </w:rPr>
        <w:t>我方</w:t>
      </w:r>
      <w:r>
        <w:rPr>
          <w:rFonts w:hint="eastAsia" w:ascii="Times New Roman" w:hAnsi="Times New Roman"/>
          <w:color w:val="auto"/>
          <w:sz w:val="32"/>
          <w:szCs w:val="32"/>
        </w:rPr>
        <w:t>已详细阅读</w:t>
      </w:r>
      <w:r>
        <w:rPr>
          <w:rFonts w:hint="eastAsia" w:ascii="Times New Roman" w:hAnsi="Times New Roman"/>
          <w:color w:val="auto"/>
          <w:sz w:val="32"/>
          <w:szCs w:val="32"/>
          <w:lang w:val="en-US" w:eastAsia="zh-CN"/>
        </w:rPr>
        <w:t>并完全理解</w:t>
      </w:r>
      <w:r>
        <w:rPr>
          <w:rFonts w:hint="eastAsia" w:ascii="Times New Roman" w:hAnsi="Times New Roman"/>
          <w:color w:val="auto"/>
          <w:sz w:val="32"/>
          <w:szCs w:val="32"/>
        </w:rPr>
        <w:t>此</w:t>
      </w:r>
      <w:r>
        <w:rPr>
          <w:rFonts w:hint="eastAsia" w:ascii="Times New Roman" w:hAnsi="Times New Roman"/>
          <w:color w:val="auto"/>
          <w:sz w:val="32"/>
          <w:szCs w:val="32"/>
          <w:lang w:val="en-US" w:eastAsia="zh-CN"/>
        </w:rPr>
        <w:t>风险告知书内容，对风险告知书无异议</w:t>
      </w:r>
      <w:r>
        <w:rPr>
          <w:rFonts w:hint="eastAsia" w:ascii="Times New Roman" w:hAnsi="Times New Roman"/>
          <w:color w:val="auto"/>
          <w:sz w:val="32"/>
          <w:szCs w:val="32"/>
        </w:rPr>
        <w:t>。</w:t>
      </w:r>
    </w:p>
    <w:p>
      <w:pPr>
        <w:spacing w:line="520" w:lineRule="exact"/>
        <w:ind w:firstLine="2560" w:firstLineChars="800"/>
        <w:rPr>
          <w:rFonts w:hint="eastAsia" w:ascii="Times New Roman" w:hAnsi="Times New Roman" w:eastAsiaTheme="minorEastAsia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Times New Roman" w:hAnsi="Times New Roman"/>
          <w:color w:val="auto"/>
          <w:sz w:val="32"/>
          <w:szCs w:val="32"/>
        </w:rPr>
        <w:t>签字（盖章）确认：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Times New Roman" w:hAnsi="Times New Roman"/>
          <w:b w:val="0"/>
          <w:color w:val="auto"/>
          <w:sz w:val="32"/>
          <w:szCs w:val="32"/>
        </w:rPr>
        <w:t xml:space="preserve">          </w:t>
      </w:r>
      <w:r>
        <w:rPr>
          <w:rFonts w:hint="eastAsia" w:ascii="Times New Roman" w:hAnsi="Times New Roman"/>
          <w:color w:val="auto"/>
          <w:sz w:val="32"/>
          <w:szCs w:val="32"/>
          <w:lang w:val="en-US" w:eastAsia="zh-CN"/>
        </w:rPr>
        <w:t xml:space="preserve">  身份证号码/统一社会信用代码</w:t>
      </w:r>
      <w:r>
        <w:rPr>
          <w:rFonts w:hint="eastAsia" w:ascii="仿宋_GB2312" w:hAnsi="仿宋_GB2312" w:eastAsia="仿宋_GB2312" w:cs="仿宋_GB2312"/>
          <w:sz w:val="32"/>
          <w:szCs w:val="32"/>
        </w:rPr>
        <w:t>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/>
          <w:b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</w:t>
      </w:r>
      <w:r>
        <w:rPr>
          <w:rFonts w:hint="eastAsia" w:ascii="Times New Roman" w:hAnsi="Times New Roman"/>
          <w:b w:val="0"/>
          <w:color w:val="auto"/>
          <w:sz w:val="32"/>
          <w:szCs w:val="32"/>
        </w:rPr>
        <w:t xml:space="preserve">   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Times New Roman" w:hAnsi="Times New Roman"/>
          <w:b w:val="0"/>
          <w:color w:val="auto"/>
          <w:sz w:val="32"/>
          <w:szCs w:val="32"/>
        </w:rPr>
        <w:t>日期：</w:t>
      </w:r>
      <w:r>
        <w:rPr>
          <w:rFonts w:hint="eastAsia" w:ascii="Times New Roman" w:hAnsi="Times New Roman"/>
          <w:b w:val="0"/>
          <w:color w:val="auto"/>
          <w:sz w:val="32"/>
          <w:szCs w:val="32"/>
          <w:u w:val="single"/>
        </w:rPr>
        <w:t xml:space="preserve"> </w:t>
      </w:r>
      <w:r>
        <w:rPr>
          <w:rFonts w:hint="eastAsia" w:ascii="Times New Roman" w:hAnsi="Times New Roman"/>
          <w:b w:val="0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Times New Roman" w:hAnsi="Times New Roman"/>
          <w:b w:val="0"/>
          <w:color w:val="auto"/>
          <w:sz w:val="32"/>
          <w:szCs w:val="32"/>
          <w:u w:val="single"/>
        </w:rPr>
        <w:t xml:space="preserve"> </w:t>
      </w:r>
      <w:r>
        <w:rPr>
          <w:rFonts w:hint="eastAsia" w:ascii="Times New Roman" w:hAnsi="Times New Roman"/>
          <w:b w:val="0"/>
          <w:color w:val="auto"/>
          <w:sz w:val="32"/>
          <w:szCs w:val="32"/>
        </w:rPr>
        <w:t xml:space="preserve">年 </w:t>
      </w:r>
      <w:r>
        <w:rPr>
          <w:rFonts w:hint="eastAsia" w:ascii="Times New Roman" w:hAnsi="Times New Roman"/>
          <w:b w:val="0"/>
          <w:color w:val="auto"/>
          <w:sz w:val="32"/>
          <w:szCs w:val="32"/>
          <w:u w:val="single"/>
        </w:rPr>
        <w:t xml:space="preserve"> </w:t>
      </w:r>
      <w:r>
        <w:rPr>
          <w:rFonts w:hint="eastAsia" w:ascii="Times New Roman" w:hAnsi="Times New Roman"/>
          <w:b w:val="0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Times New Roman" w:hAnsi="Times New Roman"/>
          <w:b w:val="0"/>
          <w:color w:val="auto"/>
          <w:sz w:val="32"/>
          <w:szCs w:val="32"/>
          <w:u w:val="single"/>
        </w:rPr>
        <w:t xml:space="preserve"> </w:t>
      </w:r>
      <w:r>
        <w:rPr>
          <w:rFonts w:hint="eastAsia" w:ascii="Times New Roman" w:hAnsi="Times New Roman"/>
          <w:b w:val="0"/>
          <w:color w:val="auto"/>
          <w:sz w:val="32"/>
          <w:szCs w:val="32"/>
        </w:rPr>
        <w:t>月</w:t>
      </w:r>
      <w:r>
        <w:rPr>
          <w:rFonts w:hint="eastAsia" w:ascii="Times New Roman" w:hAnsi="Times New Roman"/>
          <w:b w:val="0"/>
          <w:color w:val="auto"/>
          <w:sz w:val="32"/>
          <w:szCs w:val="32"/>
          <w:u w:val="single"/>
        </w:rPr>
        <w:t xml:space="preserve"> </w:t>
      </w:r>
      <w:r>
        <w:rPr>
          <w:rFonts w:hint="eastAsia" w:ascii="Times New Roman" w:hAnsi="Times New Roman"/>
          <w:b w:val="0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Times New Roman" w:hAnsi="Times New Roman"/>
          <w:b w:val="0"/>
          <w:color w:val="auto"/>
          <w:sz w:val="32"/>
          <w:szCs w:val="32"/>
          <w:u w:val="single"/>
        </w:rPr>
        <w:t xml:space="preserve"> </w:t>
      </w:r>
      <w:r>
        <w:rPr>
          <w:rFonts w:hint="eastAsia" w:ascii="Times New Roman" w:hAnsi="Times New Roman"/>
          <w:b w:val="0"/>
          <w:color w:val="auto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LZS" w:date="2026-08-13T11:46:59Z" w:initials="L">
    <w:p w14:paraId="4666394B">
      <w:pPr>
        <w:pStyle w:val="4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该条款需根据项目地块实际情况修改，构筑物包括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  <w:u w:val="none"/>
        </w:rPr>
        <w:t>简易房、坟墓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1E1E1E"/>
          <w:spacing w:val="0"/>
          <w:sz w:val="32"/>
          <w:szCs w:val="32"/>
          <w:u w:val="none"/>
          <w:lang w:val="en-US" w:eastAsia="zh-CN"/>
        </w:rPr>
        <w:t>等</w:t>
      </w:r>
      <w:r>
        <w:rPr>
          <w:rFonts w:hint="eastAsia"/>
          <w:lang w:val="en-US" w:eastAsia="zh-CN"/>
        </w:rPr>
        <w:t>。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4666394B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LZS">
    <w15:presenceInfo w15:providerId="None" w15:userId="LZ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1E23CD"/>
    <w:rsid w:val="05C24D00"/>
    <w:rsid w:val="0D403A67"/>
    <w:rsid w:val="10BA7806"/>
    <w:rsid w:val="12BC30D7"/>
    <w:rsid w:val="156E0FB7"/>
    <w:rsid w:val="17606E66"/>
    <w:rsid w:val="18351032"/>
    <w:rsid w:val="1BED60EA"/>
    <w:rsid w:val="20433420"/>
    <w:rsid w:val="2107473E"/>
    <w:rsid w:val="2E1E23CD"/>
    <w:rsid w:val="37E4236B"/>
    <w:rsid w:val="5B911989"/>
    <w:rsid w:val="608019E2"/>
    <w:rsid w:val="6DEA78FE"/>
    <w:rsid w:val="703A5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Cambria" w:hAnsi="Cambria" w:eastAsia="黑体"/>
      <w:b/>
      <w:kern w:val="0"/>
      <w:sz w:val="36"/>
      <w:szCs w:val="20"/>
    </w:rPr>
  </w:style>
  <w:style w:type="paragraph" w:styleId="3">
    <w:name w:val="heading 3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uiPriority w:val="0"/>
    <w:pPr>
      <w:jc w:val="left"/>
    </w:p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microsoft.com/office/2011/relationships/people" Target="people.xml"/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48</TotalTime>
  <ScaleCrop>false</ScaleCrop>
  <LinksUpToDate>false</LinksUpToDate>
  <CharactersWithSpaces>0</CharactersWithSpaces>
  <Application>WPS Office_11.8.6.11825_F1E327BC-269C-435d-A152-05C5408002CA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2026-08-13T03:15:00Z</dcterms:created>
  <dc:creator>总经理联络员</dc:creator>
  <cp:lastModifiedBy>小厨房</cp:lastModifiedBy>
  <dcterms:modified xsi:type="dcterms:W3CDTF">2026-09-10T07:00:45Z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2052-11.8.6.11825</vt:lpwstr>
  </property>
  <property fmtid="{D5CDD505-2E9C-101B-9397-08002B2CF9AE}" pid="3" name="ICV">
    <vt:lpwstr>1009C15BEDA84576AC45CDCF9E963BA8</vt:lpwstr>
  </property>
</Properties>
</file>