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4DB7F2">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4169BD3C">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0507B97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49888129">
      <w:pPr>
        <w:pStyle w:val="6"/>
        <w:ind w:firstLine="0"/>
        <w:jc w:val="left"/>
        <w:rPr>
          <w:rFonts w:ascii="仿宋_GB2312" w:hAnsi="仿宋_GB2312" w:eastAsia="仿宋_GB2312" w:cs="仿宋_GB2312"/>
          <w:color w:val="000000"/>
          <w:sz w:val="30"/>
          <w:szCs w:val="30"/>
        </w:rPr>
      </w:pPr>
    </w:p>
    <w:p w14:paraId="73FDBE45">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2E8EBF3">
      <w:pPr>
        <w:pStyle w:val="6"/>
        <w:ind w:firstLine="0"/>
        <w:jc w:val="left"/>
        <w:rPr>
          <w:rFonts w:ascii="仿宋_GB2312" w:hAnsi="仿宋_GB2312" w:eastAsia="仿宋_GB2312" w:cs="仿宋_GB2312"/>
          <w:color w:val="000000"/>
          <w:sz w:val="30"/>
          <w:szCs w:val="30"/>
        </w:rPr>
      </w:pPr>
    </w:p>
    <w:p w14:paraId="0B4321B1">
      <w:pPr>
        <w:pStyle w:val="6"/>
        <w:jc w:val="left"/>
        <w:rPr>
          <w:rFonts w:ascii="仿宋_GB2312" w:hAnsi="仿宋_GB2312" w:eastAsia="仿宋_GB2312" w:cs="仿宋_GB2312"/>
          <w:color w:val="000000"/>
          <w:sz w:val="30"/>
          <w:szCs w:val="30"/>
        </w:rPr>
      </w:pPr>
    </w:p>
    <w:p w14:paraId="1F5E25A4">
      <w:pPr>
        <w:pStyle w:val="6"/>
        <w:jc w:val="left"/>
        <w:rPr>
          <w:rFonts w:ascii="仿宋_GB2312" w:hAnsi="仿宋_GB2312" w:eastAsia="仿宋_GB2312" w:cs="仿宋_GB2312"/>
          <w:color w:val="000000"/>
          <w:sz w:val="30"/>
          <w:szCs w:val="30"/>
        </w:rPr>
      </w:pPr>
    </w:p>
    <w:p w14:paraId="426744E5">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D38C47E">
      <w:pPr>
        <w:pStyle w:val="6"/>
        <w:ind w:firstLine="0"/>
        <w:jc w:val="left"/>
        <w:rPr>
          <w:rFonts w:ascii="仿宋_GB2312" w:hAnsi="仿宋_GB2312" w:eastAsia="仿宋_GB2312" w:cs="仿宋_GB2312"/>
          <w:color w:val="000000"/>
          <w:sz w:val="30"/>
          <w:szCs w:val="30"/>
        </w:rPr>
      </w:pPr>
    </w:p>
    <w:p w14:paraId="65F221F6">
      <w:pPr>
        <w:pStyle w:val="6"/>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E21C690">
      <w:pPr>
        <w:pStyle w:val="6"/>
        <w:jc w:val="left"/>
        <w:rPr>
          <w:rFonts w:ascii="仿宋_GB2312" w:hAnsi="仿宋_GB2312" w:eastAsia="仿宋_GB2312" w:cs="仿宋_GB2312"/>
          <w:color w:val="000000"/>
          <w:sz w:val="30"/>
          <w:szCs w:val="30"/>
        </w:rPr>
      </w:pPr>
    </w:p>
    <w:p w14:paraId="5309DF68">
      <w:pPr>
        <w:pStyle w:val="6"/>
        <w:jc w:val="left"/>
        <w:rPr>
          <w:rFonts w:ascii="仿宋_GB2312" w:hAnsi="仿宋_GB2312" w:eastAsia="仿宋_GB2312" w:cs="仿宋_GB2312"/>
          <w:color w:val="000000"/>
          <w:sz w:val="30"/>
          <w:szCs w:val="30"/>
        </w:rPr>
      </w:pPr>
    </w:p>
    <w:p w14:paraId="5FE63F90">
      <w:pPr>
        <w:pStyle w:val="6"/>
        <w:jc w:val="left"/>
        <w:rPr>
          <w:rFonts w:ascii="仿宋_GB2312" w:hAnsi="仿宋_GB2312" w:eastAsia="仿宋_GB2312" w:cs="仿宋_GB2312"/>
          <w:color w:val="000000"/>
          <w:sz w:val="30"/>
          <w:szCs w:val="30"/>
        </w:rPr>
      </w:pPr>
    </w:p>
    <w:p w14:paraId="5C162833">
      <w:pPr>
        <w:pStyle w:val="6"/>
        <w:jc w:val="left"/>
        <w:rPr>
          <w:rFonts w:ascii="仿宋_GB2312" w:hAnsi="仿宋_GB2312" w:eastAsia="仿宋_GB2312" w:cs="仿宋_GB2312"/>
          <w:color w:val="000000"/>
          <w:sz w:val="30"/>
          <w:szCs w:val="30"/>
        </w:rPr>
      </w:pPr>
    </w:p>
    <w:p w14:paraId="70AE65A4">
      <w:pPr>
        <w:pStyle w:val="6"/>
        <w:jc w:val="left"/>
        <w:rPr>
          <w:rFonts w:ascii="仿宋_GB2312" w:hAnsi="仿宋_GB2312" w:eastAsia="仿宋_GB2312" w:cs="仿宋_GB2312"/>
          <w:color w:val="000000"/>
          <w:sz w:val="30"/>
          <w:szCs w:val="30"/>
        </w:rPr>
      </w:pPr>
    </w:p>
    <w:p w14:paraId="36AF397D">
      <w:pPr>
        <w:pStyle w:val="6"/>
        <w:jc w:val="left"/>
        <w:rPr>
          <w:rFonts w:ascii="仿宋_GB2312" w:hAnsi="仿宋_GB2312" w:eastAsia="仿宋_GB2312" w:cs="仿宋_GB2312"/>
          <w:color w:val="000000"/>
          <w:sz w:val="30"/>
          <w:szCs w:val="30"/>
        </w:rPr>
      </w:pPr>
    </w:p>
    <w:p w14:paraId="300EDA70">
      <w:pPr>
        <w:pStyle w:val="6"/>
        <w:jc w:val="left"/>
        <w:rPr>
          <w:rFonts w:ascii="仿宋_GB2312" w:hAnsi="仿宋_GB2312" w:eastAsia="仿宋_GB2312" w:cs="仿宋_GB2312"/>
          <w:color w:val="000000"/>
          <w:sz w:val="30"/>
          <w:szCs w:val="30"/>
        </w:rPr>
      </w:pPr>
    </w:p>
    <w:p w14:paraId="72882978">
      <w:pPr>
        <w:pStyle w:val="6"/>
        <w:jc w:val="left"/>
        <w:rPr>
          <w:rFonts w:ascii="仿宋_GB2312" w:hAnsi="仿宋_GB2312" w:eastAsia="仿宋_GB2312" w:cs="仿宋_GB2312"/>
          <w:color w:val="000000"/>
          <w:sz w:val="30"/>
          <w:szCs w:val="30"/>
        </w:rPr>
      </w:pPr>
    </w:p>
    <w:p w14:paraId="1952BB09">
      <w:pPr>
        <w:jc w:val="left"/>
        <w:sectPr>
          <w:footerReference r:id="rId3" w:type="default"/>
          <w:pgSz w:w="11906" w:h="16838"/>
          <w:pgMar w:top="1440" w:right="1800" w:bottom="1440" w:left="1800" w:header="851" w:footer="992" w:gutter="0"/>
          <w:cols w:space="425" w:num="1"/>
          <w:docGrid w:type="lines" w:linePitch="312" w:charSpace="0"/>
        </w:sectPr>
      </w:pPr>
    </w:p>
    <w:p w14:paraId="6207068B">
      <w:pPr>
        <w:pStyle w:val="3"/>
        <w:spacing w:line="240" w:lineRule="auto"/>
        <w:rPr>
          <w:rFonts w:ascii="黑体" w:hAnsi="黑体"/>
          <w:color w:val="000000"/>
        </w:rPr>
      </w:pPr>
      <w:bookmarkStart w:id="1" w:name="_Toc15737"/>
      <w:bookmarkStart w:id="2" w:name="_Toc24454"/>
      <w:bookmarkStart w:id="3" w:name="_Toc11918"/>
      <w:bookmarkStart w:id="4" w:name="_Toc20910"/>
      <w:bookmarkStart w:id="5" w:name="_Toc21422"/>
      <w:bookmarkStart w:id="6" w:name="_Toc21762"/>
      <w:bookmarkStart w:id="7" w:name="_Toc32320"/>
      <w:bookmarkStart w:id="8" w:name="_Toc12789"/>
      <w:bookmarkStart w:id="9" w:name="_Toc29002"/>
      <w:bookmarkStart w:id="10" w:name="_Toc24068"/>
      <w:bookmarkStart w:id="11" w:name="_Toc24727"/>
      <w:bookmarkStart w:id="12" w:name="_Toc8396"/>
      <w:bookmarkStart w:id="13" w:name="_Toc13462"/>
      <w:bookmarkStart w:id="14" w:name="_Toc7615"/>
      <w:bookmarkStart w:id="15" w:name="_Toc20033"/>
      <w:bookmarkStart w:id="16" w:name="_Toc25712"/>
      <w:r>
        <w:rPr>
          <w:rFonts w:hint="eastAsia" w:ascii="黑体" w:hAnsi="黑体"/>
          <w:color w:val="000000"/>
        </w:rPr>
        <w:t>网络竞价须知</w:t>
      </w:r>
      <w:bookmarkEnd w:id="1"/>
      <w:bookmarkEnd w:id="2"/>
      <w:bookmarkEnd w:id="3"/>
      <w:bookmarkEnd w:id="4"/>
      <w:bookmarkEnd w:id="5"/>
      <w:bookmarkEnd w:id="6"/>
      <w:bookmarkEnd w:id="7"/>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临高县波莲镇古柳村道伦地块3.5323亩集体林地发包</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临高农村产权交易中心</w:t>
      </w:r>
      <w:r>
        <w:rPr>
          <w:rFonts w:hint="eastAsia" w:ascii="新宋体" w:hAnsi="新宋体" w:eastAsia="新宋体" w:cs="新宋体"/>
          <w:kern w:val="0"/>
          <w:sz w:val="28"/>
          <w:szCs w:val="28"/>
          <w:highlight w:val="none"/>
        </w:rPr>
        <w:t>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临高农村产权交易中心</w:t>
      </w:r>
      <w:r>
        <w:rPr>
          <w:rFonts w:hint="eastAsia" w:ascii="新宋体" w:hAnsi="新宋体" w:eastAsia="新宋体" w:cs="新宋体"/>
          <w:bCs w:val="0"/>
          <w:kern w:val="0"/>
          <w:sz w:val="28"/>
          <w:szCs w:val="28"/>
          <w:highlight w:val="none"/>
        </w:rPr>
        <w:t>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临高农村产权交易中心(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lingao</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w:t>
      </w:r>
      <w:r>
        <w:rPr>
          <w:rFonts w:hint="eastAsia" w:ascii="新宋体" w:hAnsi="新宋体" w:eastAsia="新宋体" w:cs="Times New Roman"/>
          <w:sz w:val="28"/>
          <w:szCs w:val="28"/>
          <w:lang w:val="en-US" w:eastAsia="zh-CN"/>
        </w:rPr>
        <w:t>发包</w:t>
      </w:r>
      <w:r>
        <w:rPr>
          <w:rFonts w:hint="eastAsia" w:ascii="新宋体" w:hAnsi="新宋体" w:eastAsia="新宋体" w:cs="Times New Roman"/>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21日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w:t>
      </w:r>
      <w:r>
        <w:rPr>
          <w:rFonts w:hint="eastAsia" w:ascii="新宋体" w:hAnsi="新宋体" w:eastAsia="新宋体" w:cs="Times New Roman"/>
          <w:b/>
          <w:bCs/>
          <w:color w:val="C00000"/>
          <w:sz w:val="28"/>
          <w:szCs w:val="28"/>
          <w:lang w:eastAsia="zh-CN"/>
        </w:rPr>
        <w:t>农交中心</w:t>
      </w:r>
      <w:r>
        <w:rPr>
          <w:rFonts w:hint="eastAsia" w:ascii="新宋体" w:hAnsi="新宋体" w:eastAsia="新宋体" w:cs="Times New Roman"/>
          <w:b/>
          <w:bCs/>
          <w:color w:val="C00000"/>
          <w:sz w:val="28"/>
          <w:szCs w:val="28"/>
          <w:lang w:val="en-US" w:eastAsia="zh-CN"/>
        </w:rPr>
        <w:t>网站</w:t>
      </w:r>
      <w:r>
        <w:rPr>
          <w:rFonts w:hint="eastAsia" w:ascii="新宋体" w:hAnsi="新宋体" w:eastAsia="新宋体" w:cs="Times New Roman"/>
          <w:b/>
          <w:bCs/>
          <w:color w:val="C00000"/>
          <w:sz w:val="28"/>
          <w:szCs w:val="28"/>
        </w:rPr>
        <w:t>提交本次网络竞价《网络竞价须知》《网络竞价承诺函》等竞价文件后，</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审核通过后，交纳交易保证金（</w:t>
      </w:r>
      <w:r>
        <w:rPr>
          <w:rFonts w:hint="eastAsia" w:ascii="新宋体" w:hAnsi="新宋体" w:eastAsia="新宋体" w:cs="Times New Roman"/>
          <w:sz w:val="28"/>
          <w:szCs w:val="28"/>
          <w:lang w:val="en-US" w:eastAsia="zh-CN"/>
        </w:rPr>
        <w:t>1000元</w:t>
      </w:r>
      <w:r>
        <w:rPr>
          <w:rFonts w:hint="eastAsia" w:ascii="新宋体" w:hAnsi="新宋体" w:eastAsia="新宋体" w:cs="Times New Roman"/>
          <w:sz w:val="28"/>
          <w:szCs w:val="28"/>
        </w:rPr>
        <w:t>），</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C00000"/>
          <w:sz w:val="28"/>
          <w:szCs w:val="28"/>
          <w:lang w:eastAsia="zh-CN"/>
        </w:rPr>
        <w:t>农交中心</w:t>
      </w:r>
      <w:r>
        <w:rPr>
          <w:rFonts w:hint="eastAsia" w:ascii="新宋体" w:hAnsi="新宋体" w:eastAsia="新宋体" w:cs="Times New Roman"/>
          <w:b/>
          <w:bCs/>
          <w:color w:val="C00000"/>
          <w:sz w:val="28"/>
          <w:szCs w:val="28"/>
          <w:lang w:val="en-US" w:eastAsia="zh-CN"/>
        </w:rPr>
        <w:t>网站</w:t>
      </w:r>
      <w:r>
        <w:rPr>
          <w:rFonts w:hint="eastAsia" w:ascii="新宋体" w:hAnsi="新宋体" w:eastAsia="新宋体" w:cs="Times New Roman"/>
          <w:b/>
          <w:bCs/>
          <w:color w:val="C00000"/>
          <w:sz w:val="28"/>
          <w:szCs w:val="28"/>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411"/>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eastAsia="zh-CN"/>
              </w:rPr>
              <w:t>临高县农村产权交易中心</w:t>
            </w:r>
            <w:r>
              <w:rPr>
                <w:rFonts w:hint="eastAsia" w:ascii="仿宋_GB2312" w:hAnsi="仿宋_GB2312" w:eastAsia="仿宋_GB2312" w:cs="仿宋_GB2312"/>
                <w:b/>
                <w:bCs/>
                <w:sz w:val="28"/>
                <w:szCs w:val="28"/>
              </w:rPr>
              <w:t>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海南农村商业银行股份有限公司临高</w:t>
            </w:r>
            <w:r>
              <w:rPr>
                <w:rFonts w:hint="eastAsia" w:ascii="仿宋_GB2312" w:hAnsi="仿宋_GB2312" w:eastAsia="仿宋_GB2312" w:cs="仿宋_GB2312"/>
                <w:b/>
                <w:bCs/>
                <w:sz w:val="28"/>
                <w:szCs w:val="28"/>
                <w:lang w:val="en-US" w:eastAsia="zh-CN"/>
              </w:rPr>
              <w:t>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1020189500000273</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lingao</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02FD8526">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1060</w:t>
      </w:r>
      <w:r>
        <w:rPr>
          <w:rFonts w:hint="eastAsia" w:ascii="新宋体" w:hAnsi="新宋体" w:eastAsia="新宋体" w:cs="Times New Roman"/>
          <w:b/>
          <w:bCs/>
          <w:sz w:val="28"/>
          <w:szCs w:val="28"/>
          <w:lang w:val="en-US" w:eastAsia="zh-CN"/>
        </w:rPr>
        <w:t>元/年。</w:t>
      </w:r>
    </w:p>
    <w:p w14:paraId="413AF676">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p>
    <w:p w14:paraId="374D2FC2">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3、</w:t>
      </w:r>
      <w:r>
        <w:rPr>
          <w:rFonts w:hint="eastAsia" w:ascii="新宋体" w:hAnsi="新宋体" w:eastAsia="新宋体" w:cs="Times New Roman"/>
          <w:b/>
          <w:bCs/>
          <w:sz w:val="28"/>
          <w:szCs w:val="28"/>
        </w:rPr>
        <w:t>竞买方接受</w:t>
      </w:r>
      <w:r>
        <w:rPr>
          <w:rFonts w:hint="eastAsia" w:ascii="新宋体" w:hAnsi="新宋体" w:eastAsia="新宋体" w:cs="Times New Roman"/>
          <w:b/>
          <w:bCs/>
          <w:sz w:val="28"/>
          <w:szCs w:val="28"/>
          <w:lang w:eastAsia="zh-CN"/>
        </w:rPr>
        <w:t>发包</w:t>
      </w:r>
      <w:r>
        <w:rPr>
          <w:rFonts w:hint="eastAsia" w:ascii="新宋体" w:hAnsi="新宋体" w:eastAsia="新宋体" w:cs="Times New Roman"/>
          <w:b/>
          <w:bCs/>
          <w:sz w:val="28"/>
          <w:szCs w:val="28"/>
        </w:rPr>
        <w:t>（转让）方确定的交易条件，通过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的网络竞价系统进行动态递增（减）报价，将报价最高者确定为</w:t>
      </w:r>
      <w:r>
        <w:rPr>
          <w:rFonts w:hint="eastAsia" w:ascii="新宋体" w:hAnsi="新宋体" w:eastAsia="新宋体" w:cs="Times New Roman"/>
          <w:b/>
          <w:bCs/>
          <w:sz w:val="28"/>
          <w:szCs w:val="28"/>
          <w:lang w:eastAsia="zh-CN"/>
        </w:rPr>
        <w:t>承包</w:t>
      </w:r>
      <w:r>
        <w:rPr>
          <w:rFonts w:hint="eastAsia" w:ascii="新宋体" w:hAnsi="新宋体" w:eastAsia="新宋体" w:cs="Times New Roman"/>
          <w:b/>
          <w:bCs/>
          <w:sz w:val="28"/>
          <w:szCs w:val="28"/>
        </w:rPr>
        <w:t>（受让）方的竞价方式（反向竞价以报价最低者确定为</w:t>
      </w:r>
      <w:r>
        <w:rPr>
          <w:rFonts w:hint="eastAsia" w:ascii="新宋体" w:hAnsi="新宋体" w:eastAsia="新宋体" w:cs="Times New Roman"/>
          <w:b/>
          <w:bCs/>
          <w:sz w:val="28"/>
          <w:szCs w:val="28"/>
          <w:lang w:eastAsia="zh-CN"/>
        </w:rPr>
        <w:t>承包</w:t>
      </w:r>
      <w:r>
        <w:rPr>
          <w:rFonts w:hint="eastAsia" w:ascii="新宋体" w:hAnsi="新宋体" w:eastAsia="新宋体" w:cs="Times New Roman"/>
          <w:b/>
          <w:bCs/>
          <w:sz w:val="28"/>
          <w:szCs w:val="28"/>
        </w:rPr>
        <w:t>（受让）方）。</w:t>
      </w:r>
    </w:p>
    <w:p w14:paraId="78BF1BB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4、本次竞价加（减）价阶梯为人民币：100元的整数倍（至少100元）。</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9-22日</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w:t>
      </w:r>
      <w:r>
        <w:rPr>
          <w:rFonts w:hint="eastAsia" w:ascii="新宋体" w:hAnsi="新宋体" w:eastAsia="新宋体" w:cs="Times New Roman"/>
          <w:sz w:val="28"/>
          <w:szCs w:val="28"/>
          <w:lang w:eastAsia="zh-CN"/>
        </w:rPr>
        <w:t>发包</w:t>
      </w:r>
      <w:r>
        <w:rPr>
          <w:rFonts w:hint="eastAsia" w:ascii="新宋体" w:hAnsi="新宋体" w:eastAsia="新宋体" w:cs="Times New Roman"/>
          <w:sz w:val="28"/>
          <w:szCs w:val="28"/>
        </w:rPr>
        <w:t>（转让）方协商后续方案，并将结果及时通知各竞买方，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w:t>
      </w:r>
      <w:r>
        <w:rPr>
          <w:rFonts w:hint="eastAsia" w:ascii="新宋体" w:hAnsi="新宋体" w:eastAsia="新宋体" w:cs="Times New Roman"/>
          <w:sz w:val="28"/>
          <w:szCs w:val="28"/>
          <w:lang w:eastAsia="zh-CN"/>
        </w:rPr>
        <w:t>发包</w:t>
      </w:r>
      <w:r>
        <w:rPr>
          <w:rFonts w:hint="eastAsia" w:ascii="新宋体" w:hAnsi="新宋体" w:eastAsia="新宋体" w:cs="Times New Roman"/>
          <w:sz w:val="28"/>
          <w:szCs w:val="28"/>
        </w:rPr>
        <w:t>（转让）方要求的时间和方式继续竞价或重新竞价，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发包</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发包</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发包</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发包</w:t>
      </w:r>
      <w:r>
        <w:rPr>
          <w:rFonts w:hint="eastAsia" w:ascii="新宋体" w:hAnsi="新宋体" w:eastAsia="新宋体" w:cs="Times New Roman"/>
          <w:b/>
          <w:bCs/>
          <w:sz w:val="28"/>
          <w:szCs w:val="28"/>
        </w:rPr>
        <w:t>（转让）方的身份参与竞价交易活动的。</w:t>
      </w:r>
    </w:p>
    <w:p w14:paraId="3563429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发包</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才能出具《标的竞得书》），竞得人凭《标的竞得书》与委托单位在3个工作日内（或按公告要求的时限）签订交易合同，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对合同内容按规定进行形式审核，审核通过后解冻竞得人的交易保证金。竞得人需要在交易合同签订的5个工作日内按规定标准缴纳交易服务费。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eastAsia="zh-CN"/>
              </w:rPr>
              <w:t>临高县农村产权交易中心</w:t>
            </w:r>
            <w:r>
              <w:rPr>
                <w:rFonts w:hint="eastAsia" w:asciiTheme="minorEastAsia" w:hAnsiTheme="minorEastAsia" w:cstheme="minorEastAsia"/>
                <w:b/>
                <w:bCs/>
                <w:sz w:val="28"/>
                <w:szCs w:val="28"/>
              </w:rPr>
              <w:t>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spacing w:line="520" w:lineRule="exact"/>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海南农村商业银行股份有限公司临高</w:t>
            </w:r>
            <w:r>
              <w:rPr>
                <w:rFonts w:hint="eastAsia" w:asciiTheme="minorEastAsia" w:hAnsiTheme="minorEastAsia" w:cstheme="minorEastAsia"/>
                <w:b/>
                <w:bCs/>
                <w:sz w:val="28"/>
                <w:szCs w:val="28"/>
                <w:lang w:val="en-US" w:eastAsia="zh-CN"/>
              </w:rPr>
              <w:t>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spacing w:line="520" w:lineRule="exact"/>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1020189500000130</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eastAsia="zh-CN"/>
        </w:rPr>
        <w:t>临高农村产权交易中心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rPr>
      </w:pPr>
      <w:r>
        <w:rPr>
          <w:rFonts w:hint="eastAsia" w:ascii="Times New Roman" w:hAnsi="Times New Roman"/>
          <w:sz w:val="32"/>
          <w:szCs w:val="32"/>
        </w:rPr>
        <w:t>签字（盖章）确认：</w:t>
      </w:r>
    </w:p>
    <w:p w14:paraId="23B6C5FB">
      <w:pPr>
        <w:spacing w:line="520" w:lineRule="exact"/>
        <w:ind w:firstLine="3200" w:firstLineChars="1000"/>
        <w:rPr>
          <w:rFonts w:ascii="黑体" w:hAnsi="黑体"/>
          <w:color w:val="000000"/>
        </w:rPr>
      </w:pPr>
      <w:r>
        <w:rPr>
          <w:rFonts w:hint="eastAsia" w:ascii="Times New Roman" w:hAnsi="Times New Roman" w:eastAsiaTheme="minorEastAsia" w:cstheme="minorBidi"/>
          <w:b w:val="0"/>
          <w:kern w:val="2"/>
          <w:sz w:val="32"/>
          <w:szCs w:val="32"/>
          <w:lang w:val="en-US" w:eastAsia="zh-CN" w:bidi="ar-SA"/>
        </w:rPr>
        <w:t>日期：     年     月   日</w:t>
      </w:r>
    </w:p>
    <w:p w14:paraId="763E172D">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15AB0BC9">
      <w:pPr>
        <w:pStyle w:val="3"/>
        <w:spacing w:line="240" w:lineRule="auto"/>
        <w:jc w:val="center"/>
        <w:rPr>
          <w:rStyle w:val="15"/>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临高农村产权交易中心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临高县波莲镇古柳村道伦地块3.5323亩集体林地发包</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临高县波莲镇古柳村道伦地块3.5323亩集体林地发包</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临高县波莲镇古柳村道伦地块3.5323亩集体林地发包</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临高农村产权交易中心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发包</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临高农村产权交易中心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lingao</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发包</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临高</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发包</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0F1B74DC">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lang w:eastAsia="zh-CN"/>
        </w:rPr>
        <w:t>承包</w:t>
      </w:r>
      <w:r>
        <w:rPr>
          <w:rFonts w:hint="eastAsia" w:ascii="方正小标宋简体" w:hAnsi="方正小标宋简体" w:eastAsia="方正小标宋简体" w:cs="方正小标宋简体"/>
          <w:bCs/>
          <w:szCs w:val="36"/>
        </w:rPr>
        <w:t>（受让）申请书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临高农村产权交易中心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临高农村产权交易中心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临高农村产权交易中心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 xml:space="preserve"> 9</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3"/>
        <w:spacing w:line="400" w:lineRule="exact"/>
        <w:rPr>
          <w:rFonts w:ascii="仿宋" w:hAnsi="仿宋"/>
          <w:bCs/>
          <w:szCs w:val="36"/>
        </w:rPr>
      </w:pPr>
      <w:r>
        <w:rPr>
          <w:rFonts w:hint="eastAsia"/>
          <w:bCs/>
          <w:szCs w:val="36"/>
        </w:rPr>
        <w:t>意向</w:t>
      </w:r>
      <w:r>
        <w:rPr>
          <w:rFonts w:hint="eastAsia"/>
          <w:bCs/>
          <w:szCs w:val="36"/>
          <w:lang w:eastAsia="zh-CN"/>
        </w:rPr>
        <w:t>承包</w:t>
      </w:r>
      <w:r>
        <w:rPr>
          <w:rFonts w:hint="eastAsia"/>
          <w:bCs/>
          <w:szCs w:val="36"/>
        </w:rPr>
        <w:t>（受让）函</w:t>
      </w:r>
    </w:p>
    <w:p w14:paraId="0BBF9B4D">
      <w:pPr>
        <w:rPr>
          <w:rFonts w:ascii="Times New Roman" w:hAnsi="Times New Roman" w:eastAsia="黑体"/>
          <w:bCs/>
          <w:sz w:val="24"/>
        </w:rPr>
      </w:pPr>
      <w:r>
        <w:rPr>
          <w:rFonts w:hint="eastAsia" w:ascii="Times New Roman" w:hAnsi="Times New Roman"/>
          <w:bCs/>
          <w:sz w:val="24"/>
          <w:lang w:val="en-US" w:eastAsia="zh-CN"/>
        </w:rPr>
        <w:t>临高农村产权交易中心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临高农村产权交易中心（以下简称“农交中心”）网站</w:t>
      </w:r>
      <w:r>
        <w:rPr>
          <w:rFonts w:hint="eastAsia" w:ascii="Times New Roman" w:hAnsi="Times New Roman"/>
          <w:bCs/>
          <w:sz w:val="24"/>
        </w:rPr>
        <w:t>（http://</w:t>
      </w:r>
      <w:r>
        <w:rPr>
          <w:rFonts w:hint="eastAsia" w:ascii="Times New Roman" w:hAnsi="Times New Roman"/>
          <w:bCs/>
          <w:sz w:val="24"/>
          <w:lang w:val="en-US" w:eastAsia="zh-CN"/>
        </w:rPr>
        <w:t>lingao</w:t>
      </w:r>
      <w:r>
        <w:rPr>
          <w:rFonts w:hint="eastAsia" w:ascii="Times New Roman" w:hAnsi="Times New Roman"/>
          <w:bCs/>
          <w:sz w:val="24"/>
        </w:rPr>
        <w:t>.nongjiao.com）申请</w:t>
      </w:r>
      <w:r>
        <w:rPr>
          <w:rFonts w:hint="eastAsia" w:ascii="Times New Roman" w:hAnsi="Times New Roman"/>
          <w:bCs/>
          <w:sz w:val="24"/>
          <w:lang w:eastAsia="zh-CN"/>
        </w:rPr>
        <w:t>承包</w:t>
      </w:r>
      <w:r>
        <w:rPr>
          <w:rFonts w:hint="eastAsia" w:ascii="Times New Roman" w:hAnsi="Times New Roman"/>
          <w:bCs/>
          <w:sz w:val="24"/>
        </w:rPr>
        <w:t>（受让）</w:t>
      </w:r>
      <w:r>
        <w:rPr>
          <w:rFonts w:hint="eastAsia" w:ascii="新宋体" w:hAnsi="新宋体" w:eastAsia="新宋体"/>
          <w:b/>
          <w:bCs/>
          <w:color w:val="C00000"/>
          <w:sz w:val="28"/>
          <w:szCs w:val="28"/>
          <w:u w:val="single"/>
          <w:lang w:val="en-US" w:eastAsia="zh-CN"/>
        </w:rPr>
        <w:t>临高县波莲镇古柳村道伦地块3.5323亩集体林地发包</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w:t>
      </w:r>
      <w:r>
        <w:rPr>
          <w:rFonts w:hint="eastAsia" w:ascii="Times New Roman" w:hAnsi="Times New Roman"/>
          <w:b/>
          <w:sz w:val="24"/>
          <w:lang w:eastAsia="zh-CN"/>
        </w:rPr>
        <w:t>承包</w:t>
      </w:r>
      <w:r>
        <w:rPr>
          <w:rFonts w:hint="eastAsia" w:ascii="Times New Roman" w:hAnsi="Times New Roman"/>
          <w:b/>
          <w:sz w:val="24"/>
        </w:rPr>
        <w:t>（受让）该项目，并接受项目公开挂牌信息所载的全部</w:t>
      </w:r>
      <w:r>
        <w:rPr>
          <w:rFonts w:hint="eastAsia" w:ascii="Times New Roman" w:hAnsi="Times New Roman"/>
          <w:b/>
          <w:sz w:val="24"/>
          <w:lang w:eastAsia="zh-CN"/>
        </w:rPr>
        <w:t>承包</w:t>
      </w:r>
      <w:r>
        <w:rPr>
          <w:rFonts w:hint="eastAsia" w:ascii="Times New Roman" w:hAnsi="Times New Roman"/>
          <w:b/>
          <w:sz w:val="24"/>
        </w:rPr>
        <w:t>（受让）要求，我方</w:t>
      </w:r>
      <w:r>
        <w:rPr>
          <w:rFonts w:hint="eastAsia" w:ascii="Times New Roman" w:hAnsi="Times New Roman"/>
          <w:b/>
          <w:sz w:val="24"/>
          <w:lang w:eastAsia="zh-CN"/>
        </w:rPr>
        <w:t>承包</w:t>
      </w:r>
      <w:r>
        <w:rPr>
          <w:rFonts w:hint="eastAsia" w:ascii="Times New Roman" w:hAnsi="Times New Roman"/>
          <w:b/>
          <w:sz w:val="24"/>
        </w:rPr>
        <w:t>（受让）行为已经过相应的有效内部决策并得到相应批准。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w:t>
      </w:r>
      <w:r>
        <w:rPr>
          <w:rFonts w:hint="eastAsia" w:ascii="Times New Roman" w:hAnsi="Times New Roman"/>
          <w:b/>
          <w:sz w:val="24"/>
          <w:lang w:eastAsia="zh-CN"/>
        </w:rPr>
        <w:t>承包</w:t>
      </w:r>
      <w:r>
        <w:rPr>
          <w:rFonts w:hint="eastAsia" w:ascii="Times New Roman" w:hAnsi="Times New Roman"/>
          <w:b/>
          <w:sz w:val="24"/>
        </w:rPr>
        <w:t>（受让）方条件的规定。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临高农村产权交易中心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7" w:name="_Toc11532"/>
      <w:bookmarkStart w:id="18" w:name="_Toc28981"/>
      <w:bookmarkStart w:id="19" w:name="_Toc13357"/>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w:t>
      </w:r>
      <w:r>
        <w:rPr>
          <w:rFonts w:hint="eastAsia" w:ascii="Times New Roman" w:hAnsi="Times New Roman"/>
          <w:b/>
          <w:sz w:val="24"/>
          <w:lang w:val="en-US" w:eastAsia="zh-CN"/>
        </w:rPr>
        <w:t>中标后</w:t>
      </w:r>
      <w:r>
        <w:rPr>
          <w:rFonts w:hint="eastAsia" w:ascii="Times New Roman" w:hAnsi="Times New Roman"/>
          <w:b/>
          <w:sz w:val="24"/>
        </w:rPr>
        <w:t>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20" w:name="_Toc7009"/>
      <w:bookmarkStart w:id="21" w:name="_Toc31003"/>
      <w:bookmarkStart w:id="22" w:name="_Toc24611"/>
      <w:r>
        <w:rPr>
          <w:rFonts w:hint="eastAsia" w:ascii="Times New Roman" w:hAnsi="Times New Roman"/>
          <w:b/>
          <w:sz w:val="24"/>
          <w:szCs w:val="24"/>
        </w:rPr>
        <w:t>10、最终解释权归</w:t>
      </w:r>
      <w:r>
        <w:rPr>
          <w:rFonts w:hint="eastAsia" w:ascii="Times New Roman" w:hAnsi="Times New Roman"/>
          <w:b/>
          <w:sz w:val="24"/>
          <w:szCs w:val="24"/>
          <w:lang w:val="en-US" w:eastAsia="zh-CN"/>
        </w:rPr>
        <w:t>临高农村产权交易中心</w:t>
      </w:r>
      <w:r>
        <w:rPr>
          <w:rFonts w:hint="eastAsia" w:ascii="Times New Roman" w:hAnsi="Times New Roman"/>
          <w:b/>
          <w:sz w:val="24"/>
          <w:szCs w:val="24"/>
        </w:rPr>
        <w:t>。</w:t>
      </w:r>
      <w:bookmarkEnd w:id="20"/>
      <w:bookmarkEnd w:id="21"/>
      <w:bookmarkEnd w:id="22"/>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3" w:name="_Toc4535"/>
      <w:bookmarkStart w:id="24" w:name="_Toc30986"/>
      <w:bookmarkStart w:id="25" w:name="_Toc29057"/>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69D232EF">
      <w:pPr>
        <w:pStyle w:val="3"/>
        <w:spacing w:line="240" w:lineRule="auto"/>
        <w:rPr>
          <w:rFonts w:ascii="黑体" w:hAnsi="黑体"/>
          <w:color w:val="000000"/>
        </w:rPr>
      </w:pPr>
      <w:bookmarkStart w:id="28" w:name="_Toc32101"/>
      <w:bookmarkStart w:id="29" w:name="_Toc13094"/>
      <w:bookmarkStart w:id="30" w:name="_Toc4580"/>
      <w:bookmarkStart w:id="31" w:name="_Toc11237"/>
      <w:bookmarkStart w:id="32" w:name="_Toc14469"/>
      <w:bookmarkStart w:id="33" w:name="_Toc12264"/>
      <w:bookmarkStart w:id="34" w:name="_Toc29841"/>
      <w:r>
        <w:rPr>
          <w:rFonts w:hint="eastAsia" w:ascii="黑体" w:hAnsi="黑体"/>
          <w:color w:val="000000"/>
        </w:rPr>
        <w:t>意向</w:t>
      </w:r>
      <w:r>
        <w:rPr>
          <w:rFonts w:hint="eastAsia" w:ascii="黑体" w:hAnsi="黑体"/>
          <w:color w:val="000000"/>
          <w:lang w:eastAsia="zh-CN"/>
        </w:rPr>
        <w:t>承包</w:t>
      </w:r>
      <w:r>
        <w:rPr>
          <w:rFonts w:hint="eastAsia" w:ascii="黑体" w:hAnsi="黑体"/>
          <w:color w:val="000000"/>
        </w:rPr>
        <w:t>（受让）方登记表</w:t>
      </w:r>
      <w:bookmarkEnd w:id="28"/>
      <w:bookmarkEnd w:id="29"/>
      <w:bookmarkEnd w:id="30"/>
      <w:bookmarkEnd w:id="31"/>
      <w:bookmarkEnd w:id="32"/>
      <w:bookmarkEnd w:id="33"/>
      <w:bookmarkEnd w:id="34"/>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eastAsia="宋体"/>
                <w:bCs/>
                <w:sz w:val="22"/>
                <w:lang w:eastAsia="zh-CN"/>
              </w:rPr>
              <w:t>承包</w:t>
            </w:r>
            <w:r>
              <w:rPr>
                <w:rFonts w:hint="eastAsia" w:ascii="宋体" w:hAnsi="宋体"/>
                <w:bCs/>
                <w:sz w:val="22"/>
              </w:rPr>
              <w:t>（受让）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lang w:val="en-US" w:eastAsia="zh-CN"/>
              </w:rPr>
            </w:pPr>
            <w:r>
              <w:rPr>
                <w:rFonts w:hint="eastAsia"/>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7"/>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7"/>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7"/>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7"/>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7"/>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7"/>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7"/>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7"/>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sz w:val="22"/>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lang w:eastAsia="zh-CN"/>
              </w:rPr>
              <w:t>承包</w:t>
            </w:r>
            <w:r>
              <w:rPr>
                <w:rFonts w:hint="eastAsia" w:ascii="宋体" w:hAnsi="宋体"/>
                <w:bCs/>
                <w:sz w:val="22"/>
              </w:rPr>
              <w:t>（受让）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临高县波莲镇古柳村道伦地块3.5323亩集体林地发</w:t>
      </w:r>
      <w:r>
        <w:rPr>
          <w:rFonts w:hint="eastAsia" w:ascii="方正小标宋_GBK" w:hAnsi="方正小标宋_GBK" w:eastAsia="方正小标宋_GBK" w:cs="方正小标宋_GBK"/>
          <w:b/>
          <w:bCs/>
          <w:color w:val="C00000"/>
          <w:sz w:val="36"/>
          <w:szCs w:val="36"/>
          <w:lang w:val="en-US" w:eastAsia="zh-CN"/>
        </w:rPr>
        <w:t>包</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spacing w:line="520" w:lineRule="exact"/>
        <w:ind w:left="559" w:leftChars="266" w:firstLine="0" w:firstLineChars="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海南省临高县波莲镇古柳村古柳组集体经济组织</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none"/>
          <w:lang w:val="en-US" w:eastAsia="zh-CN"/>
        </w:rPr>
        <w:t>临高县波莲镇古柳村道伦地块3.5323亩集体林地发包</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临高农村产权交易中心(以下简称“农交中心”)网站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lingao</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发包</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eastAsia" w:asciiTheme="minorEastAsia" w:hAnsiTheme="minorEastAsia" w:cstheme="minorEastAsia"/>
          <w:color w:val="C00000"/>
          <w:sz w:val="32"/>
          <w:szCs w:val="32"/>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color w:val="C00000"/>
          <w:sz w:val="32"/>
          <w:szCs w:val="32"/>
          <w:u w:val="none"/>
          <w:lang w:val="en-US" w:eastAsia="zh-CN"/>
        </w:rPr>
        <w:t>临高县波莲镇古柳村道伦地块3.5323亩集体林地发包</w:t>
      </w:r>
    </w:p>
    <w:p w14:paraId="0F84A090">
      <w:pPr>
        <w:spacing w:line="520" w:lineRule="exact"/>
        <w:ind w:left="559" w:leftChars="266" w:firstLine="0" w:firstLineChars="0"/>
        <w:rPr>
          <w:rFonts w:hint="eastAsia" w:asciiTheme="minorEastAsia" w:hAnsiTheme="minorEastAsia" w:cstheme="minorEastAsia"/>
          <w:color w:val="C00000"/>
          <w:sz w:val="32"/>
          <w:szCs w:val="32"/>
          <w:lang w:val="en-US" w:eastAsia="zh-CN"/>
        </w:rPr>
      </w:pPr>
      <w:r>
        <w:rPr>
          <w:rFonts w:hint="eastAsia" w:asciiTheme="minorEastAsia" w:hAnsiTheme="minorEastAsia" w:cstheme="minorEastAsia"/>
          <w:sz w:val="28"/>
          <w:szCs w:val="28"/>
          <w:lang w:val="en-US" w:eastAsia="zh-CN"/>
        </w:rPr>
        <w:t>发包方</w:t>
      </w:r>
      <w:r>
        <w:rPr>
          <w:rFonts w:hint="eastAsia" w:asciiTheme="minorEastAsia" w:hAnsiTheme="minorEastAsia" w:eastAsiaTheme="minorEastAsia" w:cstheme="minorEastAsia"/>
          <w:sz w:val="28"/>
          <w:szCs w:val="28"/>
          <w:lang w:val="en-US" w:eastAsia="zh-CN"/>
        </w:rPr>
        <w:t>：</w:t>
      </w:r>
      <w:r>
        <w:rPr>
          <w:rFonts w:hint="eastAsia" w:asciiTheme="minorEastAsia" w:hAnsiTheme="minorEastAsia" w:cstheme="minorEastAsia"/>
          <w:color w:val="C00000"/>
          <w:sz w:val="32"/>
          <w:szCs w:val="32"/>
          <w:lang w:val="en-US" w:eastAsia="zh-CN"/>
        </w:rPr>
        <w:t>海南省临高县波莲镇古柳村古柳组集体经济组织</w:t>
      </w:r>
    </w:p>
    <w:p w14:paraId="644CB298">
      <w:pPr>
        <w:spacing w:line="520" w:lineRule="exact"/>
        <w:ind w:left="559" w:leftChars="266" w:firstLine="0" w:firstLineChars="0"/>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发包面积</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3.5323亩</w:t>
      </w:r>
    </w:p>
    <w:p w14:paraId="6152C591">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流转</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30年</w:t>
      </w:r>
    </w:p>
    <w:p w14:paraId="1939C79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w:t>
      </w:r>
      <w:r>
        <w:rPr>
          <w:rFonts w:hint="eastAsia" w:asciiTheme="minorEastAsia" w:hAnsiTheme="minorEastAsia" w:cstheme="minorEastAsia"/>
          <w:b w:val="0"/>
          <w:bCs w:val="0"/>
          <w:color w:val="auto"/>
          <w:sz w:val="28"/>
          <w:szCs w:val="28"/>
          <w:highlight w:val="none"/>
          <w:u w:val="none"/>
          <w:lang w:val="en-US" w:eastAsia="zh-CN"/>
        </w:rPr>
        <w:t>底价</w:t>
      </w:r>
      <w:r>
        <w:rPr>
          <w:rFonts w:hint="eastAsia" w:asciiTheme="minorEastAsia" w:hAnsiTheme="minorEastAsia" w:eastAsiaTheme="minorEastAsia" w:cstheme="minorEastAsia"/>
          <w:b w:val="0"/>
          <w:bCs w:val="0"/>
          <w:color w:val="auto"/>
          <w:sz w:val="28"/>
          <w:szCs w:val="28"/>
          <w:highlight w:val="none"/>
          <w:u w:val="none"/>
          <w:lang w:val="en-US" w:eastAsia="zh-CN"/>
        </w:rPr>
        <w:t>：</w:t>
      </w:r>
      <w:r>
        <w:rPr>
          <w:rFonts w:hint="eastAsia" w:asciiTheme="minorEastAsia" w:hAnsiTheme="minorEastAsia" w:cstheme="minorEastAsia"/>
          <w:b w:val="0"/>
          <w:bCs w:val="0"/>
          <w:color w:val="auto"/>
          <w:sz w:val="28"/>
          <w:szCs w:val="28"/>
          <w:highlight w:val="none"/>
          <w:u w:val="none"/>
          <w:lang w:val="en-US" w:eastAsia="zh-CN"/>
        </w:rPr>
        <w:t>1060</w:t>
      </w:r>
      <w:bookmarkStart w:id="36" w:name="_GoBack"/>
      <w:bookmarkEnd w:id="36"/>
      <w:r>
        <w:rPr>
          <w:rFonts w:hint="eastAsia" w:asciiTheme="minorEastAsia" w:hAnsiTheme="minorEastAsia" w:cstheme="minorEastAsia"/>
          <w:b w:val="0"/>
          <w:bCs w:val="0"/>
          <w:color w:val="auto"/>
          <w:sz w:val="28"/>
          <w:szCs w:val="28"/>
          <w:highlight w:val="none"/>
          <w:u w:val="none"/>
          <w:lang w:val="en-US" w:eastAsia="zh-CN"/>
        </w:rPr>
        <w:t>元/年</w:t>
      </w:r>
    </w:p>
    <w:p w14:paraId="11DF4CF2">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 xml:space="preserve">报名保证金 </w:t>
      </w:r>
      <w:r>
        <w:rPr>
          <w:rFonts w:hint="eastAsia" w:asciiTheme="minorEastAsia" w:hAnsiTheme="minorEastAsia" w:cstheme="minorEastAsia"/>
          <w:b w:val="0"/>
          <w:bCs w:val="0"/>
          <w:color w:val="auto"/>
          <w:sz w:val="28"/>
          <w:szCs w:val="28"/>
          <w:highlight w:val="none"/>
          <w:u w:val="none"/>
          <w:lang w:val="en-US" w:eastAsia="zh-CN"/>
        </w:rPr>
        <w:t>：1000元</w:t>
      </w:r>
    </w:p>
    <w:p w14:paraId="3C67C08C">
      <w:pPr>
        <w:spacing w:line="520" w:lineRule="exact"/>
        <w:ind w:firstLine="560" w:firstLineChars="200"/>
        <w:rPr>
          <w:rFonts w:hint="eastAsia" w:asciiTheme="minorEastAsia" w:hAnsiTheme="minorEastAsia" w:eastAsiaTheme="minorEastAsia" w:cstheme="minorEastAsia"/>
          <w:b/>
          <w:bCs/>
          <w:sz w:val="28"/>
          <w:szCs w:val="28"/>
          <w:lang w:eastAsia="zh-CN"/>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14</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21 </w:t>
      </w:r>
      <w:r>
        <w:rPr>
          <w:rFonts w:hint="eastAsia" w:asciiTheme="minorEastAsia" w:hAnsiTheme="minorEastAsia" w:eastAsiaTheme="minorEastAsia" w:cstheme="minorEastAsia"/>
          <w:sz w:val="28"/>
          <w:szCs w:val="28"/>
        </w:rPr>
        <w:t>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4CA22FF1">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22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22 </w:t>
      </w:r>
      <w:r>
        <w:rPr>
          <w:rFonts w:hint="eastAsia" w:asciiTheme="minorEastAsia" w:hAnsiTheme="minorEastAsia" w:eastAsiaTheme="minorEastAsia" w:cstheme="minorEastAsia"/>
          <w:sz w:val="28"/>
          <w:szCs w:val="28"/>
        </w:rPr>
        <w:t>16:00</w:t>
      </w:r>
    </w:p>
    <w:p w14:paraId="43B9701C">
      <w:pPr>
        <w:spacing w:line="520" w:lineRule="exact"/>
        <w:ind w:firstLine="560" w:firstLineChars="200"/>
        <w:rPr>
          <w:rFonts w:hint="default"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 一年一付，每八年递增5%</w:t>
      </w:r>
    </w:p>
    <w:p w14:paraId="2314EC01">
      <w:pPr>
        <w:spacing w:line="520" w:lineRule="exact"/>
        <w:ind w:firstLine="560" w:firstLineChars="200"/>
        <w:rPr>
          <w:rFonts w:hint="default"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符先生18084626860</w:t>
      </w:r>
    </w:p>
    <w:p w14:paraId="69CE8AAE">
      <w:pPr>
        <w:spacing w:line="520" w:lineRule="exact"/>
        <w:ind w:firstLine="3080" w:firstLineChars="1100"/>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陈女士18084628094</w:t>
      </w:r>
    </w:p>
    <w:p w14:paraId="3C6E77CD">
      <w:pPr>
        <w:spacing w:line="520" w:lineRule="exact"/>
        <w:ind w:firstLine="3080" w:firstLineChars="1100"/>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王女士18084626110</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临高县临城镇市政大道32号海南农商银行临高支行</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lingao</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4F27A6D7">
      <w:pPr>
        <w:spacing w:line="570" w:lineRule="exact"/>
        <w:jc w:val="both"/>
        <w:rPr>
          <w:rFonts w:ascii="宋体" w:hAnsi="宋体" w:eastAsia="宋体" w:cs="宋体"/>
          <w:sz w:val="28"/>
          <w:szCs w:val="28"/>
          <w:u w:val="single"/>
        </w:rPr>
      </w:pPr>
    </w:p>
    <w:p w14:paraId="5F35A458">
      <w:pPr>
        <w:spacing w:line="570" w:lineRule="exact"/>
        <w:jc w:val="both"/>
        <w:rPr>
          <w:rFonts w:hint="eastAsia" w:ascii="宋体" w:hAnsi="宋体" w:eastAsia="宋体" w:cs="宋体"/>
          <w:sz w:val="28"/>
          <w:szCs w:val="28"/>
          <w:u w:val="single"/>
          <w:lang w:eastAsia="zh-CN"/>
        </w:rPr>
      </w:pPr>
    </w:p>
    <w:p w14:paraId="4D04BE9E">
      <w:pPr>
        <w:spacing w:line="570" w:lineRule="exact"/>
        <w:jc w:val="both"/>
        <w:rPr>
          <w:rFonts w:ascii="宋体" w:hAnsi="宋体" w:eastAsia="宋体" w:cs="宋体"/>
          <w:sz w:val="28"/>
          <w:szCs w:val="28"/>
          <w:u w:val="single"/>
        </w:rPr>
      </w:pPr>
      <w:r>
        <w:rPr>
          <w:rFonts w:hint="eastAsia" w:ascii="宋体" w:hAnsi="宋体" w:eastAsia="宋体" w:cs="宋体"/>
          <w:sz w:val="28"/>
          <w:szCs w:val="28"/>
          <w:u w:val="single"/>
          <w:lang w:eastAsia="zh-CN"/>
        </w:rPr>
        <w:drawing>
          <wp:anchor distT="0" distB="0" distL="114300" distR="114300" simplePos="0" relativeHeight="251663360" behindDoc="1" locked="0" layoutInCell="1" allowOverlap="1">
            <wp:simplePos x="0" y="0"/>
            <wp:positionH relativeFrom="column">
              <wp:posOffset>0</wp:posOffset>
            </wp:positionH>
            <wp:positionV relativeFrom="paragraph">
              <wp:posOffset>-586740</wp:posOffset>
            </wp:positionV>
            <wp:extent cx="868045" cy="868045"/>
            <wp:effectExtent l="0" t="0" r="8255" b="8255"/>
            <wp:wrapTight wrapText="bothSides">
              <wp:wrapPolygon>
                <wp:start x="0" y="0"/>
                <wp:lineTo x="0" y="21331"/>
                <wp:lineTo x="21331" y="21331"/>
                <wp:lineTo x="21331" y="0"/>
                <wp:lineTo x="0" y="0"/>
              </wp:wrapPolygon>
            </wp:wrapTight>
            <wp:docPr id="1" name="图片 1" descr="0a7e1229b2f199a5f94b5b9bdf56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a7e1229b2f199a5f94b5b9bdf56512"/>
                    <pic:cNvPicPr>
                      <a:picLocks noChangeAspect="1"/>
                    </pic:cNvPicPr>
                  </pic:nvPicPr>
                  <pic:blipFill>
                    <a:blip r:embed="rId5"/>
                    <a:stretch>
                      <a:fillRect/>
                    </a:stretch>
                  </pic:blipFill>
                  <pic:spPr>
                    <a:xfrm>
                      <a:off x="0" y="0"/>
                      <a:ext cx="868045" cy="868045"/>
                    </a:xfrm>
                    <a:prstGeom prst="rect">
                      <a:avLst/>
                    </a:prstGeom>
                  </pic:spPr>
                </pic:pic>
              </a:graphicData>
            </a:graphic>
          </wp:anchor>
        </w:drawing>
      </w: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23ADD">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332DA1">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B332DA1">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B57B36"/>
    <w:rsid w:val="00CD7376"/>
    <w:rsid w:val="00E03B4E"/>
    <w:rsid w:val="00E541D7"/>
    <w:rsid w:val="011B32B7"/>
    <w:rsid w:val="021C29C7"/>
    <w:rsid w:val="070E6657"/>
    <w:rsid w:val="09061CDB"/>
    <w:rsid w:val="09077801"/>
    <w:rsid w:val="0A8721A0"/>
    <w:rsid w:val="0ADD2F10"/>
    <w:rsid w:val="0AE0655C"/>
    <w:rsid w:val="0B7B2128"/>
    <w:rsid w:val="0B985CD3"/>
    <w:rsid w:val="0BC96FF0"/>
    <w:rsid w:val="0CD67C16"/>
    <w:rsid w:val="0E1C5E37"/>
    <w:rsid w:val="0E9816ED"/>
    <w:rsid w:val="0EF64BA6"/>
    <w:rsid w:val="10396E71"/>
    <w:rsid w:val="105772C0"/>
    <w:rsid w:val="117F262B"/>
    <w:rsid w:val="11A6405B"/>
    <w:rsid w:val="11DE52CB"/>
    <w:rsid w:val="132D209C"/>
    <w:rsid w:val="1399374C"/>
    <w:rsid w:val="148D1503"/>
    <w:rsid w:val="150A3847"/>
    <w:rsid w:val="1658169C"/>
    <w:rsid w:val="16C136E5"/>
    <w:rsid w:val="16CD3E38"/>
    <w:rsid w:val="16D93709"/>
    <w:rsid w:val="186B3909"/>
    <w:rsid w:val="18E10F33"/>
    <w:rsid w:val="19A215AC"/>
    <w:rsid w:val="1A0C35CC"/>
    <w:rsid w:val="1A626F8D"/>
    <w:rsid w:val="1CE74D57"/>
    <w:rsid w:val="1D3A4E38"/>
    <w:rsid w:val="205C18F7"/>
    <w:rsid w:val="20B971DB"/>
    <w:rsid w:val="20BE4E97"/>
    <w:rsid w:val="2163678E"/>
    <w:rsid w:val="21FF50C2"/>
    <w:rsid w:val="23C4301C"/>
    <w:rsid w:val="23DD5D2E"/>
    <w:rsid w:val="25B52667"/>
    <w:rsid w:val="266F29B9"/>
    <w:rsid w:val="2741574C"/>
    <w:rsid w:val="27EC60E8"/>
    <w:rsid w:val="28A86B34"/>
    <w:rsid w:val="29A96C5C"/>
    <w:rsid w:val="2BD1187D"/>
    <w:rsid w:val="2C3A38C6"/>
    <w:rsid w:val="2C765212"/>
    <w:rsid w:val="2CD755B9"/>
    <w:rsid w:val="2D1B1EF2"/>
    <w:rsid w:val="2DEA30CA"/>
    <w:rsid w:val="2F120B2A"/>
    <w:rsid w:val="2F762E67"/>
    <w:rsid w:val="2FA8323D"/>
    <w:rsid w:val="30AA01BC"/>
    <w:rsid w:val="30B56AE1"/>
    <w:rsid w:val="30CE55FA"/>
    <w:rsid w:val="317C672F"/>
    <w:rsid w:val="31E57E30"/>
    <w:rsid w:val="327E6635"/>
    <w:rsid w:val="3321133C"/>
    <w:rsid w:val="347A51A8"/>
    <w:rsid w:val="3516702D"/>
    <w:rsid w:val="356B5D48"/>
    <w:rsid w:val="35814314"/>
    <w:rsid w:val="35CD7559"/>
    <w:rsid w:val="35EA1EB9"/>
    <w:rsid w:val="36257C7B"/>
    <w:rsid w:val="3717024B"/>
    <w:rsid w:val="37183F17"/>
    <w:rsid w:val="37E601A9"/>
    <w:rsid w:val="37F87A4B"/>
    <w:rsid w:val="37FF5016"/>
    <w:rsid w:val="380361CD"/>
    <w:rsid w:val="3A7A2C02"/>
    <w:rsid w:val="3AAD7959"/>
    <w:rsid w:val="3BCC2061"/>
    <w:rsid w:val="3D124BF3"/>
    <w:rsid w:val="3D922FE7"/>
    <w:rsid w:val="3DB159B2"/>
    <w:rsid w:val="3EE84C2D"/>
    <w:rsid w:val="3F220916"/>
    <w:rsid w:val="40176161"/>
    <w:rsid w:val="408C7674"/>
    <w:rsid w:val="409F10ED"/>
    <w:rsid w:val="411A15DB"/>
    <w:rsid w:val="41377F7D"/>
    <w:rsid w:val="42621029"/>
    <w:rsid w:val="42EC1909"/>
    <w:rsid w:val="43315BEC"/>
    <w:rsid w:val="43AD1C7C"/>
    <w:rsid w:val="43CC52F4"/>
    <w:rsid w:val="44047C65"/>
    <w:rsid w:val="4486772E"/>
    <w:rsid w:val="44912C24"/>
    <w:rsid w:val="477C493B"/>
    <w:rsid w:val="47C03328"/>
    <w:rsid w:val="47D604EF"/>
    <w:rsid w:val="48350522"/>
    <w:rsid w:val="48DA2590"/>
    <w:rsid w:val="48F422BB"/>
    <w:rsid w:val="4A7A6DBA"/>
    <w:rsid w:val="4AC5484B"/>
    <w:rsid w:val="4BBA1ED6"/>
    <w:rsid w:val="4C122427"/>
    <w:rsid w:val="4C2707BD"/>
    <w:rsid w:val="4CA26BF2"/>
    <w:rsid w:val="4CD73773"/>
    <w:rsid w:val="4D440E1C"/>
    <w:rsid w:val="4DC33073"/>
    <w:rsid w:val="4E3F7559"/>
    <w:rsid w:val="4E9904C8"/>
    <w:rsid w:val="4ECE0172"/>
    <w:rsid w:val="4FF97471"/>
    <w:rsid w:val="50804CA1"/>
    <w:rsid w:val="51516E47"/>
    <w:rsid w:val="529C62D6"/>
    <w:rsid w:val="551123C4"/>
    <w:rsid w:val="5A3115B5"/>
    <w:rsid w:val="5A47702B"/>
    <w:rsid w:val="5ABA3CA0"/>
    <w:rsid w:val="5AFE6760"/>
    <w:rsid w:val="5B3C46B5"/>
    <w:rsid w:val="5BD329C8"/>
    <w:rsid w:val="5CF93C67"/>
    <w:rsid w:val="618B7514"/>
    <w:rsid w:val="62920BC0"/>
    <w:rsid w:val="637A7D59"/>
    <w:rsid w:val="639B14F1"/>
    <w:rsid w:val="64515E2E"/>
    <w:rsid w:val="64D61FAB"/>
    <w:rsid w:val="6549634D"/>
    <w:rsid w:val="66CB4B3F"/>
    <w:rsid w:val="674072DB"/>
    <w:rsid w:val="68790CF7"/>
    <w:rsid w:val="68D777CC"/>
    <w:rsid w:val="69A739D7"/>
    <w:rsid w:val="6A154A4F"/>
    <w:rsid w:val="6AE627E2"/>
    <w:rsid w:val="6C3F7B62"/>
    <w:rsid w:val="6C8E0AE9"/>
    <w:rsid w:val="6D30394E"/>
    <w:rsid w:val="6D7952F5"/>
    <w:rsid w:val="6EA63EC8"/>
    <w:rsid w:val="7020414E"/>
    <w:rsid w:val="713559D7"/>
    <w:rsid w:val="734F2D96"/>
    <w:rsid w:val="73C6500C"/>
    <w:rsid w:val="740D49E9"/>
    <w:rsid w:val="76312BA1"/>
    <w:rsid w:val="786A7F85"/>
    <w:rsid w:val="791505B4"/>
    <w:rsid w:val="79705177"/>
    <w:rsid w:val="7A7C6A82"/>
    <w:rsid w:val="7A8615E4"/>
    <w:rsid w:val="7C4F3DF1"/>
    <w:rsid w:val="7C686C61"/>
    <w:rsid w:val="7D051392"/>
    <w:rsid w:val="7D80622C"/>
    <w:rsid w:val="7E265025"/>
    <w:rsid w:val="7EC1633B"/>
    <w:rsid w:val="7EF0118F"/>
    <w:rsid w:val="7F853F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0"/>
    <w:autoRedefine/>
    <w:qFormat/>
    <w:uiPriority w:val="0"/>
    <w:pPr>
      <w:tabs>
        <w:tab w:val="center" w:pos="4153"/>
        <w:tab w:val="right" w:pos="8306"/>
      </w:tabs>
      <w:snapToGrid w:val="0"/>
      <w:jc w:val="left"/>
    </w:pPr>
    <w:rPr>
      <w:sz w:val="18"/>
      <w:szCs w:val="18"/>
    </w:rPr>
  </w:style>
  <w:style w:type="paragraph" w:styleId="10">
    <w:name w:val="header"/>
    <w:basedOn w:val="1"/>
    <w:link w:val="19"/>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character" w:customStyle="1" w:styleId="15">
    <w:name w:val="标题4 Char"/>
    <w:link w:val="16"/>
    <w:autoRedefine/>
    <w:qFormat/>
    <w:locked/>
    <w:uiPriority w:val="0"/>
    <w:rPr>
      <w:rFonts w:eastAsia="宋体"/>
      <w:kern w:val="0"/>
      <w:sz w:val="36"/>
      <w:szCs w:val="20"/>
    </w:rPr>
  </w:style>
  <w:style w:type="paragraph" w:customStyle="1" w:styleId="16">
    <w:name w:val="标题4"/>
    <w:basedOn w:val="5"/>
    <w:link w:val="15"/>
    <w:autoRedefine/>
    <w:qFormat/>
    <w:uiPriority w:val="0"/>
    <w:rPr>
      <w:rFonts w:eastAsia="宋体"/>
      <w:kern w:val="0"/>
      <w:sz w:val="36"/>
      <w:szCs w:val="20"/>
    </w:rPr>
  </w:style>
  <w:style w:type="paragraph" w:customStyle="1" w:styleId="17">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autoRedefine/>
    <w:qFormat/>
    <w:uiPriority w:val="0"/>
    <w:rPr>
      <w:rFonts w:asciiTheme="minorHAnsi" w:hAnsiTheme="minorHAnsi" w:eastAsiaTheme="minorEastAsia" w:cstheme="minorBidi"/>
      <w:lang w:val="en-US" w:eastAsia="zh-CN" w:bidi="ar-SA"/>
    </w:rPr>
  </w:style>
  <w:style w:type="character" w:customStyle="1" w:styleId="19">
    <w:name w:val="页眉 字符"/>
    <w:basedOn w:val="14"/>
    <w:link w:val="10"/>
    <w:autoRedefine/>
    <w:qFormat/>
    <w:uiPriority w:val="0"/>
    <w:rPr>
      <w:rFonts w:asciiTheme="minorHAnsi" w:hAnsiTheme="minorHAnsi" w:eastAsiaTheme="minorEastAsia" w:cstheme="minorBidi"/>
      <w:kern w:val="2"/>
      <w:sz w:val="18"/>
      <w:szCs w:val="18"/>
    </w:rPr>
  </w:style>
  <w:style w:type="character" w:customStyle="1" w:styleId="20">
    <w:name w:val="页脚 字符"/>
    <w:basedOn w:val="14"/>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6905</Words>
  <Characters>7323</Characters>
  <Lines>59</Lines>
  <Paragraphs>16</Paragraphs>
  <TotalTime>0</TotalTime>
  <ScaleCrop>false</ScaleCrop>
  <LinksUpToDate>false</LinksUpToDate>
  <CharactersWithSpaces>7811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Anyone</cp:lastModifiedBy>
  <dcterms:modified xsi:type="dcterms:W3CDTF">2026-09-14T01:45:31Z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1737232A60A04B7BB294C0C471D1378A_13</vt:lpwstr>
  </property>
  <property fmtid="{D5CDD505-2E9C-101B-9397-08002B2CF9AE}" pid="4" name="KSOTemplateDocerSaveRecord">
    <vt:lpwstr>eyJoZGlkIjoiMDVmODgwNGU3ODRhODkzZWQzYTY1ZWIzOTg2MTBmNWMiLCJ1c2VySWQiOiIxMTYxMjgxMTA5In0=</vt:lpwstr>
  </property>
</Properties>
</file>