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5A661">
      <w:pPr>
        <w:ind w:firstLine="2640" w:firstLineChars="60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房屋租赁合同</w:t>
      </w:r>
    </w:p>
    <w:p w14:paraId="16F35F32">
      <w:pPr>
        <w:rPr>
          <w:rFonts w:ascii="仿宋_GB2312" w:hAnsi="仿宋_GB2312" w:eastAsia="仿宋_GB2312" w:cs="仿宋_GB2312"/>
          <w:sz w:val="20"/>
          <w:szCs w:val="20"/>
        </w:rPr>
      </w:pPr>
    </w:p>
    <w:p w14:paraId="39433550">
      <w:pPr>
        <w:spacing w:line="44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甲方（出租方）：三亚南新实业有限公司</w:t>
      </w:r>
    </w:p>
    <w:p w14:paraId="5E81155A">
      <w:pPr>
        <w:spacing w:line="440" w:lineRule="exact"/>
        <w:rPr>
          <w:rFonts w:ascii="仿宋_GB2312" w:hAnsi="仿宋_GB2312" w:eastAsia="仿宋_GB2312" w:cs="仿宋_GB2312"/>
          <w:color w:val="FF0000"/>
          <w:sz w:val="28"/>
          <w:szCs w:val="28"/>
        </w:rPr>
      </w:pPr>
      <w:r>
        <w:rPr>
          <w:rFonts w:hint="eastAsia" w:ascii="仿宋_GB2312" w:hAnsi="仿宋_GB2312" w:eastAsia="仿宋_GB2312" w:cs="仿宋_GB2312"/>
          <w:sz w:val="28"/>
          <w:szCs w:val="28"/>
        </w:rPr>
        <w:t>乙方（承租方）：</w:t>
      </w:r>
    </w:p>
    <w:p w14:paraId="393D2283">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依据《中华人民共和国民法典》及有关法律、法规的规定，就房屋出租事宜，甲乙双方经协商一致，签订本合同。</w:t>
      </w:r>
    </w:p>
    <w:p w14:paraId="31B861BC">
      <w:pPr>
        <w:spacing w:line="440" w:lineRule="exact"/>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一、房屋的地址</w:t>
      </w:r>
    </w:p>
    <w:p w14:paraId="12768A54">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1.1甲方房屋位于三亚市吉阳区荔枝沟路105号南新办公大楼4层东侧全部办公室（除4楼会议室外）。</w:t>
      </w:r>
    </w:p>
    <w:p w14:paraId="42601ABF">
      <w:pPr>
        <w:spacing w:line="4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1.2房屋</w:t>
      </w:r>
      <w:r>
        <w:rPr>
          <w:rFonts w:hint="eastAsia" w:ascii="仿宋_GB2312" w:hAnsi="仿宋_GB2312" w:eastAsia="仿宋_GB2312" w:cs="仿宋_GB2312"/>
          <w:sz w:val="28"/>
          <w:szCs w:val="28"/>
          <w:u w:val="single"/>
        </w:rPr>
        <w:t>9</w:t>
      </w:r>
      <w:r>
        <w:rPr>
          <w:rFonts w:hint="eastAsia" w:ascii="仿宋_GB2312" w:hAnsi="仿宋_GB2312" w:eastAsia="仿宋_GB2312" w:cs="仿宋_GB2312"/>
          <w:sz w:val="28"/>
          <w:szCs w:val="28"/>
        </w:rPr>
        <w:t>间</w:t>
      </w:r>
      <w:r>
        <w:rPr>
          <w:rFonts w:hint="eastAsia" w:ascii="仿宋_GB2312" w:hAnsi="仿宋_GB2312" w:eastAsia="仿宋_GB2312" w:cs="仿宋_GB2312"/>
          <w:sz w:val="28"/>
          <w:szCs w:val="28"/>
          <w:u w:val="single"/>
        </w:rPr>
        <w:t>（含5楼会议室）</w:t>
      </w:r>
      <w:r>
        <w:rPr>
          <w:rFonts w:hint="eastAsia" w:ascii="仿宋_GB2312" w:hAnsi="仿宋_GB2312" w:eastAsia="仿宋_GB2312" w:cs="仿宋_GB2312"/>
          <w:sz w:val="28"/>
          <w:szCs w:val="28"/>
        </w:rPr>
        <w:t>，建筑面积</w:t>
      </w:r>
      <w:r>
        <w:rPr>
          <w:rFonts w:hint="eastAsia" w:ascii="仿宋_GB2312" w:hAnsi="仿宋_GB2312" w:eastAsia="仿宋_GB2312" w:cs="仿宋_GB2312"/>
          <w:sz w:val="28"/>
          <w:szCs w:val="28"/>
          <w:u w:val="single"/>
        </w:rPr>
        <w:t>（含5楼会议室一半面积）</w:t>
      </w:r>
      <w:r>
        <w:rPr>
          <w:rFonts w:hint="eastAsia" w:ascii="仿宋_GB2312" w:hAnsi="仿宋_GB2312" w:eastAsia="仿宋_GB2312" w:cs="仿宋_GB2312"/>
          <w:sz w:val="28"/>
          <w:szCs w:val="28"/>
        </w:rPr>
        <w:t>共计：</w:t>
      </w:r>
      <w:r>
        <w:rPr>
          <w:rFonts w:hint="eastAsia" w:ascii="仿宋_GB2312" w:hAnsi="仿宋_GB2312" w:eastAsia="仿宋_GB2312" w:cs="仿宋_GB2312"/>
          <w:sz w:val="28"/>
          <w:szCs w:val="28"/>
          <w:u w:val="single"/>
        </w:rPr>
        <w:t>263.60</w:t>
      </w:r>
      <w:r>
        <w:rPr>
          <w:rFonts w:hint="eastAsia" w:ascii="仿宋_GB2312" w:hAnsi="仿宋_GB2312" w:eastAsia="仿宋_GB2312" w:cs="仿宋_GB2312"/>
          <w:sz w:val="28"/>
          <w:szCs w:val="28"/>
        </w:rPr>
        <w:t>㎡。</w:t>
      </w:r>
    </w:p>
    <w:p w14:paraId="06A6652A">
      <w:pPr>
        <w:spacing w:line="440" w:lineRule="exact"/>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二、租赁用途</w:t>
      </w:r>
    </w:p>
    <w:p w14:paraId="09CDCA90">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2.1乙方承租该房屋用途为：行政办公。</w:t>
      </w:r>
    </w:p>
    <w:p w14:paraId="475E9683">
      <w:pPr>
        <w:spacing w:line="440"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sz w:val="28"/>
          <w:szCs w:val="28"/>
        </w:rPr>
        <w:t>三、租赁期限</w:t>
      </w:r>
    </w:p>
    <w:p w14:paraId="2870D8AF">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3.1租赁期限：自</w:t>
      </w:r>
      <w:r>
        <w:rPr>
          <w:rFonts w:hint="eastAsia" w:ascii="仿宋_GB2312" w:hAnsi="仿宋_GB2312" w:eastAsia="仿宋_GB2312" w:cs="仿宋_GB2312"/>
          <w:sz w:val="28"/>
          <w:szCs w:val="28"/>
          <w:u w:val="single"/>
        </w:rPr>
        <w:t>2026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日起至</w:t>
      </w:r>
      <w:r>
        <w:rPr>
          <w:rFonts w:hint="eastAsia" w:ascii="仿宋_GB2312" w:hAnsi="仿宋_GB2312" w:eastAsia="仿宋_GB2312" w:cs="仿宋_GB2312"/>
          <w:sz w:val="28"/>
          <w:szCs w:val="28"/>
          <w:u w:val="single"/>
          <w:lang w:val="en-US" w:eastAsia="zh-CN"/>
        </w:rPr>
        <w:t>2029</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lang w:val="en-US" w:eastAsia="zh-CN"/>
        </w:rPr>
        <w:t>12</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lang w:val="en-US" w:eastAsia="zh-CN"/>
        </w:rPr>
        <w:t>31</w:t>
      </w:r>
      <w:bookmarkStart w:id="3" w:name="_GoBack"/>
      <w:bookmarkEnd w:id="3"/>
      <w:r>
        <w:rPr>
          <w:rFonts w:hint="eastAsia" w:ascii="仿宋_GB2312" w:hAnsi="仿宋_GB2312" w:eastAsia="仿宋_GB2312" w:cs="仿宋_GB2312"/>
          <w:sz w:val="28"/>
          <w:szCs w:val="28"/>
        </w:rPr>
        <w:t>日止。</w:t>
      </w:r>
    </w:p>
    <w:p w14:paraId="4AB6A208">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3.2租期届满后，若甲方继续出租，在同等条件下，乙方有权优先承租。</w:t>
      </w:r>
    </w:p>
    <w:p w14:paraId="4F316C0F">
      <w:pPr>
        <w:spacing w:line="440" w:lineRule="exact"/>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四、租金、押金标准及支付方式</w:t>
      </w:r>
    </w:p>
    <w:p w14:paraId="11C451C5">
      <w:pPr>
        <w:spacing w:line="440" w:lineRule="exact"/>
        <w:ind w:firstLine="560" w:firstLineChars="200"/>
        <w:rPr>
          <w:rFonts w:ascii="仿宋_GB2312" w:hAnsi="仿宋_GB2312" w:eastAsia="仿宋_GB2312" w:cs="仿宋_GB2312"/>
          <w:b/>
          <w:bCs/>
          <w:sz w:val="28"/>
          <w:szCs w:val="28"/>
        </w:rPr>
      </w:pPr>
      <w:r>
        <w:rPr>
          <w:rFonts w:hint="eastAsia" w:ascii="仿宋_GB2312" w:hAnsi="仿宋_GB2312" w:eastAsia="仿宋_GB2312" w:cs="仿宋_GB2312"/>
          <w:sz w:val="28"/>
          <w:szCs w:val="28"/>
        </w:rPr>
        <w:t>4.1首次租金为以签订合同日期至2027年结束实际应付租金,后每年1月底前一次性交清全年租金。每年租金按以下租金明细表。</w:t>
      </w:r>
    </w:p>
    <w:p w14:paraId="027E7213">
      <w:pPr>
        <w:spacing w:beforeLines="50" w:afterLines="50" w:line="44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租金明细表</w:t>
      </w:r>
    </w:p>
    <w:tbl>
      <w:tblPr>
        <w:tblStyle w:val="5"/>
        <w:tblW w:w="10065"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984"/>
        <w:gridCol w:w="1985"/>
        <w:gridCol w:w="1984"/>
        <w:gridCol w:w="1985"/>
      </w:tblGrid>
      <w:tr w14:paraId="7BF59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6" w:hRule="atLeast"/>
        </w:trPr>
        <w:tc>
          <w:tcPr>
            <w:tcW w:w="709" w:type="dxa"/>
            <w:vAlign w:val="center"/>
          </w:tcPr>
          <w:p w14:paraId="170806E4">
            <w:pPr>
              <w:snapToGrid w:val="0"/>
              <w:spacing w:line="240" w:lineRule="atLeast"/>
              <w:jc w:val="center"/>
              <w:rPr>
                <w:rFonts w:ascii="仿宋_GB2312" w:hAnsi="仿宋_GB2312" w:eastAsia="仿宋_GB2312" w:cs="仿宋_GB2312"/>
                <w:sz w:val="26"/>
                <w:szCs w:val="26"/>
              </w:rPr>
            </w:pPr>
            <w:r>
              <w:rPr>
                <w:rFonts w:hint="eastAsia" w:ascii="仿宋_GB2312" w:hAnsi="仿宋_GB2312" w:eastAsia="仿宋_GB2312" w:cs="仿宋_GB2312"/>
                <w:sz w:val="26"/>
                <w:szCs w:val="26"/>
              </w:rPr>
              <w:t>序号</w:t>
            </w:r>
          </w:p>
        </w:tc>
        <w:tc>
          <w:tcPr>
            <w:tcW w:w="1418" w:type="dxa"/>
            <w:vAlign w:val="center"/>
          </w:tcPr>
          <w:p w14:paraId="76162D95">
            <w:pPr>
              <w:snapToGrid w:val="0"/>
              <w:spacing w:line="240" w:lineRule="atLeast"/>
              <w:jc w:val="center"/>
              <w:rPr>
                <w:rFonts w:ascii="仿宋_GB2312" w:hAnsi="仿宋_GB2312" w:eastAsia="仿宋_GB2312" w:cs="仿宋_GB2312"/>
                <w:sz w:val="26"/>
                <w:szCs w:val="26"/>
              </w:rPr>
            </w:pPr>
            <w:r>
              <w:rPr>
                <w:rFonts w:hint="eastAsia" w:ascii="仿宋_GB2312" w:hAnsi="仿宋_GB2312" w:eastAsia="仿宋_GB2312" w:cs="仿宋_GB2312"/>
                <w:sz w:val="26"/>
                <w:szCs w:val="26"/>
              </w:rPr>
              <w:t>面积（㎡）</w:t>
            </w:r>
          </w:p>
        </w:tc>
        <w:tc>
          <w:tcPr>
            <w:tcW w:w="1984" w:type="dxa"/>
            <w:vAlign w:val="center"/>
          </w:tcPr>
          <w:p w14:paraId="5E09FF5E">
            <w:pPr>
              <w:snapToGrid w:val="0"/>
              <w:spacing w:line="240" w:lineRule="atLeast"/>
              <w:jc w:val="center"/>
              <w:rPr>
                <w:rFonts w:ascii="仿宋_GB2312" w:hAnsi="仿宋_GB2312" w:eastAsia="仿宋_GB2312" w:cs="仿宋_GB2312"/>
                <w:sz w:val="26"/>
                <w:szCs w:val="26"/>
              </w:rPr>
            </w:pPr>
            <w:bookmarkStart w:id="0" w:name="OLE_LINK1"/>
            <w:r>
              <w:rPr>
                <w:rFonts w:hint="eastAsia" w:ascii="仿宋_GB2312" w:hAnsi="仿宋_GB2312" w:eastAsia="仿宋_GB2312" w:cs="仿宋_GB2312"/>
                <w:sz w:val="26"/>
                <w:szCs w:val="26"/>
              </w:rPr>
              <w:t>2026年租金</w:t>
            </w:r>
          </w:p>
          <w:p w14:paraId="0C3D8B45">
            <w:pPr>
              <w:snapToGrid w:val="0"/>
              <w:spacing w:line="240" w:lineRule="atLeast"/>
              <w:jc w:val="center"/>
              <w:rPr>
                <w:rFonts w:ascii="仿宋_GB2312" w:hAnsi="仿宋_GB2312" w:eastAsia="仿宋_GB2312" w:cs="仿宋_GB2312"/>
                <w:sz w:val="26"/>
                <w:szCs w:val="26"/>
              </w:rPr>
            </w:pPr>
            <w:r>
              <w:rPr>
                <w:rFonts w:hint="eastAsia" w:ascii="仿宋_GB2312" w:hAnsi="仿宋_GB2312" w:eastAsia="仿宋_GB2312" w:cs="仿宋_GB2312"/>
                <w:sz w:val="26"/>
                <w:szCs w:val="26"/>
              </w:rPr>
              <w:t>（52元/㎡·月）</w:t>
            </w:r>
            <w:bookmarkEnd w:id="0"/>
          </w:p>
        </w:tc>
        <w:tc>
          <w:tcPr>
            <w:tcW w:w="1985" w:type="dxa"/>
            <w:vAlign w:val="center"/>
          </w:tcPr>
          <w:p w14:paraId="6D1E2B91">
            <w:pPr>
              <w:snapToGrid w:val="0"/>
              <w:spacing w:line="240" w:lineRule="atLeast"/>
              <w:jc w:val="center"/>
              <w:rPr>
                <w:rFonts w:ascii="仿宋_GB2312" w:hAnsi="仿宋_GB2312" w:eastAsia="仿宋_GB2312" w:cs="仿宋_GB2312"/>
                <w:sz w:val="26"/>
                <w:szCs w:val="26"/>
              </w:rPr>
            </w:pPr>
            <w:r>
              <w:rPr>
                <w:rFonts w:hint="eastAsia" w:ascii="仿宋_GB2312" w:hAnsi="仿宋_GB2312" w:eastAsia="仿宋_GB2312" w:cs="仿宋_GB2312"/>
                <w:sz w:val="26"/>
                <w:szCs w:val="26"/>
              </w:rPr>
              <w:t>2027年租金</w:t>
            </w:r>
          </w:p>
          <w:p w14:paraId="477677AB">
            <w:pPr>
              <w:snapToGrid w:val="0"/>
              <w:spacing w:line="240" w:lineRule="atLeast"/>
              <w:jc w:val="center"/>
              <w:rPr>
                <w:rFonts w:ascii="仿宋_GB2312" w:hAnsi="仿宋_GB2312" w:eastAsia="仿宋_GB2312" w:cs="仿宋_GB2312"/>
                <w:sz w:val="26"/>
                <w:szCs w:val="26"/>
              </w:rPr>
            </w:pPr>
            <w:r>
              <w:rPr>
                <w:rFonts w:hint="eastAsia" w:ascii="仿宋_GB2312" w:hAnsi="仿宋_GB2312" w:eastAsia="仿宋_GB2312" w:cs="仿宋_GB2312"/>
                <w:sz w:val="26"/>
                <w:szCs w:val="26"/>
              </w:rPr>
              <w:t>（54元/</w:t>
            </w:r>
            <w:r>
              <w:rPr>
                <w:rFonts w:hint="eastAsia" w:ascii="宋体" w:hAnsi="宋体" w:eastAsia="宋体" w:cs="宋体"/>
                <w:sz w:val="26"/>
                <w:szCs w:val="26"/>
              </w:rPr>
              <w:t>㎡</w:t>
            </w:r>
            <w:r>
              <w:rPr>
                <w:rFonts w:hint="eastAsia" w:ascii="仿宋_GB2312" w:hAnsi="仿宋_GB2312" w:eastAsia="仿宋_GB2312" w:cs="仿宋_GB2312"/>
                <w:sz w:val="26"/>
                <w:szCs w:val="26"/>
              </w:rPr>
              <w:t>·月）</w:t>
            </w:r>
          </w:p>
        </w:tc>
        <w:tc>
          <w:tcPr>
            <w:tcW w:w="1984" w:type="dxa"/>
            <w:vAlign w:val="center"/>
          </w:tcPr>
          <w:p w14:paraId="06A48F70">
            <w:pPr>
              <w:snapToGrid w:val="0"/>
              <w:spacing w:line="240" w:lineRule="atLeast"/>
              <w:jc w:val="center"/>
              <w:rPr>
                <w:rFonts w:ascii="仿宋_GB2312" w:hAnsi="仿宋_GB2312" w:eastAsia="仿宋_GB2312" w:cs="仿宋_GB2312"/>
                <w:sz w:val="26"/>
                <w:szCs w:val="26"/>
              </w:rPr>
            </w:pPr>
            <w:bookmarkStart w:id="1" w:name="OLE_LINK3"/>
            <w:bookmarkStart w:id="2" w:name="OLE_LINK2"/>
            <w:r>
              <w:rPr>
                <w:rFonts w:hint="eastAsia" w:ascii="仿宋_GB2312" w:hAnsi="仿宋_GB2312" w:eastAsia="仿宋_GB2312" w:cs="仿宋_GB2312"/>
                <w:sz w:val="26"/>
                <w:szCs w:val="26"/>
              </w:rPr>
              <w:t>2028年租金</w:t>
            </w:r>
          </w:p>
          <w:p w14:paraId="69ADDF60">
            <w:pPr>
              <w:snapToGrid w:val="0"/>
              <w:spacing w:line="240" w:lineRule="atLeast"/>
              <w:jc w:val="center"/>
              <w:rPr>
                <w:rFonts w:ascii="仿宋_GB2312" w:hAnsi="仿宋_GB2312" w:eastAsia="仿宋_GB2312" w:cs="仿宋_GB2312"/>
                <w:sz w:val="26"/>
                <w:szCs w:val="26"/>
              </w:rPr>
            </w:pPr>
            <w:r>
              <w:rPr>
                <w:rFonts w:hint="eastAsia" w:ascii="仿宋_GB2312" w:hAnsi="仿宋_GB2312" w:eastAsia="仿宋_GB2312" w:cs="仿宋_GB2312"/>
                <w:sz w:val="26"/>
                <w:szCs w:val="26"/>
              </w:rPr>
              <w:t>（56元/</w:t>
            </w:r>
            <w:r>
              <w:rPr>
                <w:rFonts w:hint="eastAsia" w:ascii="宋体" w:hAnsi="宋体" w:eastAsia="宋体" w:cs="宋体"/>
                <w:sz w:val="26"/>
                <w:szCs w:val="26"/>
              </w:rPr>
              <w:t>㎡</w:t>
            </w:r>
            <w:r>
              <w:rPr>
                <w:rFonts w:hint="eastAsia" w:ascii="仿宋_GB2312" w:hAnsi="仿宋_GB2312" w:eastAsia="仿宋_GB2312" w:cs="仿宋_GB2312"/>
                <w:sz w:val="26"/>
                <w:szCs w:val="26"/>
              </w:rPr>
              <w:t>·月）</w:t>
            </w:r>
            <w:bookmarkEnd w:id="1"/>
            <w:bookmarkEnd w:id="2"/>
          </w:p>
        </w:tc>
        <w:tc>
          <w:tcPr>
            <w:tcW w:w="1985" w:type="dxa"/>
            <w:vAlign w:val="center"/>
          </w:tcPr>
          <w:p w14:paraId="50B15501">
            <w:pPr>
              <w:snapToGrid w:val="0"/>
              <w:spacing w:line="240" w:lineRule="atLeast"/>
              <w:ind w:firstLine="130" w:firstLineChars="50"/>
              <w:jc w:val="center"/>
              <w:rPr>
                <w:rFonts w:ascii="仿宋_GB2312" w:hAnsi="仿宋_GB2312" w:eastAsia="仿宋_GB2312" w:cs="仿宋_GB2312"/>
                <w:sz w:val="26"/>
                <w:szCs w:val="26"/>
              </w:rPr>
            </w:pPr>
            <w:r>
              <w:rPr>
                <w:rFonts w:hint="eastAsia" w:ascii="仿宋_GB2312" w:hAnsi="仿宋_GB2312" w:eastAsia="仿宋_GB2312" w:cs="仿宋_GB2312"/>
                <w:sz w:val="26"/>
                <w:szCs w:val="26"/>
              </w:rPr>
              <w:t>2029年租金</w:t>
            </w:r>
          </w:p>
          <w:p w14:paraId="0F7E3A7E">
            <w:pPr>
              <w:snapToGrid w:val="0"/>
              <w:spacing w:line="240" w:lineRule="atLeast"/>
              <w:jc w:val="center"/>
              <w:rPr>
                <w:rFonts w:hint="eastAsia" w:ascii="仿宋_GB2312" w:hAnsi="仿宋_GB2312" w:eastAsia="仿宋_GB2312" w:cs="仿宋_GB2312"/>
                <w:sz w:val="26"/>
                <w:szCs w:val="26"/>
              </w:rPr>
            </w:pPr>
            <w:r>
              <w:rPr>
                <w:rFonts w:hint="eastAsia" w:ascii="仿宋_GB2312" w:hAnsi="仿宋_GB2312" w:eastAsia="仿宋_GB2312" w:cs="仿宋_GB2312"/>
                <w:sz w:val="26"/>
                <w:szCs w:val="26"/>
              </w:rPr>
              <w:t>（58元/</w:t>
            </w:r>
            <w:r>
              <w:rPr>
                <w:rFonts w:hint="eastAsia" w:ascii="宋体" w:hAnsi="宋体" w:eastAsia="宋体" w:cs="宋体"/>
                <w:sz w:val="26"/>
                <w:szCs w:val="26"/>
              </w:rPr>
              <w:t>㎡</w:t>
            </w:r>
            <w:r>
              <w:rPr>
                <w:rFonts w:hint="eastAsia" w:ascii="仿宋_GB2312" w:hAnsi="仿宋_GB2312" w:eastAsia="仿宋_GB2312" w:cs="仿宋_GB2312"/>
                <w:sz w:val="26"/>
                <w:szCs w:val="26"/>
              </w:rPr>
              <w:t>·月）</w:t>
            </w:r>
          </w:p>
        </w:tc>
      </w:tr>
      <w:tr w14:paraId="54FD9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8" w:hRule="atLeast"/>
        </w:trPr>
        <w:tc>
          <w:tcPr>
            <w:tcW w:w="709" w:type="dxa"/>
            <w:vAlign w:val="center"/>
          </w:tcPr>
          <w:p w14:paraId="2DBF51EB">
            <w:pPr>
              <w:snapToGrid w:val="0"/>
              <w:spacing w:line="240" w:lineRule="atLeast"/>
              <w:jc w:val="center"/>
              <w:rPr>
                <w:rFonts w:ascii="仿宋_GB2312" w:hAnsi="仿宋_GB2312" w:eastAsia="仿宋_GB2312" w:cs="仿宋_GB2312"/>
                <w:sz w:val="26"/>
                <w:szCs w:val="26"/>
              </w:rPr>
            </w:pPr>
            <w:r>
              <w:rPr>
                <w:rFonts w:hint="eastAsia" w:ascii="仿宋_GB2312" w:hAnsi="仿宋_GB2312" w:eastAsia="仿宋_GB2312" w:cs="仿宋_GB2312"/>
                <w:sz w:val="26"/>
                <w:szCs w:val="26"/>
              </w:rPr>
              <w:t>1</w:t>
            </w:r>
          </w:p>
        </w:tc>
        <w:tc>
          <w:tcPr>
            <w:tcW w:w="1418" w:type="dxa"/>
            <w:vAlign w:val="center"/>
          </w:tcPr>
          <w:p w14:paraId="4EBA6FAC">
            <w:pPr>
              <w:snapToGrid w:val="0"/>
              <w:spacing w:line="240" w:lineRule="atLeast"/>
              <w:jc w:val="center"/>
              <w:rPr>
                <w:rFonts w:ascii="仿宋_GB2312" w:hAnsi="仿宋_GB2312" w:eastAsia="仿宋_GB2312" w:cs="仿宋_GB2312"/>
                <w:sz w:val="26"/>
                <w:szCs w:val="26"/>
              </w:rPr>
            </w:pPr>
            <w:r>
              <w:rPr>
                <w:rFonts w:hint="eastAsia" w:ascii="仿宋_GB2312" w:hAnsi="仿宋_GB2312" w:eastAsia="仿宋_GB2312" w:cs="仿宋_GB2312"/>
                <w:sz w:val="26"/>
                <w:szCs w:val="26"/>
              </w:rPr>
              <w:t>263.60</w:t>
            </w:r>
          </w:p>
        </w:tc>
        <w:tc>
          <w:tcPr>
            <w:tcW w:w="1984" w:type="dxa"/>
            <w:vAlign w:val="center"/>
          </w:tcPr>
          <w:p w14:paraId="54E9657A">
            <w:pPr>
              <w:snapToGrid w:val="0"/>
              <w:spacing w:line="240" w:lineRule="atLeast"/>
              <w:jc w:val="center"/>
              <w:rPr>
                <w:rFonts w:hint="eastAsia" w:ascii="仿宋_GB2312" w:hAnsi="仿宋_GB2312" w:eastAsia="仿宋_GB2312" w:cs="仿宋_GB2312"/>
                <w:sz w:val="26"/>
                <w:szCs w:val="26"/>
              </w:rPr>
            </w:pPr>
            <w:r>
              <w:rPr>
                <w:rFonts w:hint="eastAsia" w:ascii="仿宋_GB2312" w:hAnsi="仿宋_GB2312" w:eastAsia="仿宋_GB2312" w:cs="仿宋_GB2312"/>
                <w:sz w:val="26"/>
                <w:szCs w:val="26"/>
              </w:rPr>
              <w:t>2026年租金164,486.40元</w:t>
            </w:r>
          </w:p>
        </w:tc>
        <w:tc>
          <w:tcPr>
            <w:tcW w:w="1985" w:type="dxa"/>
            <w:vAlign w:val="center"/>
          </w:tcPr>
          <w:p w14:paraId="5589F42B">
            <w:pPr>
              <w:snapToGrid w:val="0"/>
              <w:spacing w:line="240" w:lineRule="atLeast"/>
              <w:jc w:val="left"/>
              <w:rPr>
                <w:rFonts w:hint="default" w:ascii="仿宋_GB2312" w:hAnsi="仿宋_GB2312" w:eastAsia="仿宋_GB2312" w:cs="仿宋_GB2312"/>
                <w:sz w:val="26"/>
                <w:szCs w:val="26"/>
                <w:lang w:val="en-US" w:eastAsia="zh-CN"/>
              </w:rPr>
            </w:pPr>
            <w:r>
              <w:rPr>
                <w:rFonts w:hint="eastAsia" w:ascii="仿宋_GB2312" w:hAnsi="仿宋_GB2312" w:eastAsia="仿宋_GB2312" w:cs="仿宋_GB2312"/>
                <w:sz w:val="26"/>
                <w:szCs w:val="26"/>
                <w:lang w:val="en-US" w:eastAsia="zh-CN"/>
              </w:rPr>
              <w:t>共计</w:t>
            </w:r>
            <w:r>
              <w:rPr>
                <w:rFonts w:hint="eastAsia" w:ascii="仿宋_GB2312" w:hAnsi="仿宋_GB2312" w:eastAsia="仿宋_GB2312" w:cs="仿宋_GB2312"/>
                <w:sz w:val="26"/>
                <w:szCs w:val="26"/>
              </w:rPr>
              <w:t>170,812.8元</w:t>
            </w:r>
            <w:r>
              <w:rPr>
                <w:rFonts w:hint="eastAsia" w:ascii="仿宋_GB2312" w:hAnsi="仿宋_GB2312" w:eastAsia="仿宋_GB2312" w:cs="仿宋_GB2312"/>
                <w:sz w:val="26"/>
                <w:szCs w:val="26"/>
                <w:lang w:eastAsia="zh-CN"/>
              </w:rPr>
              <w:t>，</w:t>
            </w:r>
            <w:r>
              <w:rPr>
                <w:rFonts w:hint="eastAsia" w:ascii="仿宋_GB2312" w:hAnsi="仿宋_GB2312" w:eastAsia="仿宋_GB2312" w:cs="仿宋_GB2312"/>
                <w:sz w:val="26"/>
                <w:szCs w:val="26"/>
                <w:lang w:val="en-US" w:eastAsia="zh-CN"/>
              </w:rPr>
              <w:t>其中不含税金额162678.86元，税额8133.94元</w:t>
            </w:r>
          </w:p>
        </w:tc>
        <w:tc>
          <w:tcPr>
            <w:tcW w:w="1984" w:type="dxa"/>
            <w:vAlign w:val="center"/>
          </w:tcPr>
          <w:p w14:paraId="1EABFC8B">
            <w:pPr>
              <w:snapToGrid w:val="0"/>
              <w:spacing w:line="240" w:lineRule="atLeast"/>
              <w:jc w:val="left"/>
              <w:rPr>
                <w:rFonts w:hint="eastAsia" w:ascii="仿宋_GB2312" w:hAnsi="仿宋_GB2312" w:eastAsia="仿宋_GB2312" w:cs="仿宋_GB2312"/>
                <w:sz w:val="26"/>
                <w:szCs w:val="26"/>
                <w:lang w:eastAsia="zh-CN"/>
              </w:rPr>
            </w:pPr>
            <w:r>
              <w:rPr>
                <w:rFonts w:hint="eastAsia" w:ascii="仿宋_GB2312" w:hAnsi="仿宋_GB2312" w:eastAsia="仿宋_GB2312" w:cs="仿宋_GB2312"/>
                <w:sz w:val="26"/>
                <w:szCs w:val="26"/>
                <w:lang w:val="en-US" w:eastAsia="zh-CN"/>
              </w:rPr>
              <w:t>共计</w:t>
            </w:r>
            <w:r>
              <w:rPr>
                <w:rFonts w:hint="eastAsia" w:ascii="仿宋_GB2312" w:hAnsi="仿宋_GB2312" w:eastAsia="仿宋_GB2312" w:cs="仿宋_GB2312"/>
                <w:sz w:val="26"/>
                <w:szCs w:val="26"/>
              </w:rPr>
              <w:t>177,139.2元</w:t>
            </w:r>
            <w:r>
              <w:rPr>
                <w:rFonts w:hint="eastAsia" w:ascii="仿宋_GB2312" w:hAnsi="仿宋_GB2312" w:eastAsia="仿宋_GB2312" w:cs="仿宋_GB2312"/>
                <w:sz w:val="26"/>
                <w:szCs w:val="26"/>
                <w:lang w:eastAsia="zh-CN"/>
              </w:rPr>
              <w:t>，</w:t>
            </w:r>
            <w:r>
              <w:rPr>
                <w:rFonts w:hint="eastAsia" w:ascii="仿宋_GB2312" w:hAnsi="仿宋_GB2312" w:eastAsia="仿宋_GB2312" w:cs="仿宋_GB2312"/>
                <w:sz w:val="26"/>
                <w:szCs w:val="26"/>
                <w:lang w:val="en-US" w:eastAsia="zh-CN"/>
              </w:rPr>
              <w:t>其中不含税金额168704元，税额8435.2元</w:t>
            </w:r>
          </w:p>
        </w:tc>
        <w:tc>
          <w:tcPr>
            <w:tcW w:w="1985" w:type="dxa"/>
            <w:vAlign w:val="center"/>
          </w:tcPr>
          <w:p w14:paraId="4D245EC5">
            <w:pPr>
              <w:snapToGrid w:val="0"/>
              <w:spacing w:line="240" w:lineRule="atLeast"/>
              <w:jc w:val="left"/>
              <w:rPr>
                <w:rFonts w:hint="eastAsia" w:ascii="仿宋_GB2312" w:hAnsi="仿宋_GB2312" w:eastAsia="仿宋_GB2312" w:cs="仿宋_GB2312"/>
                <w:sz w:val="26"/>
                <w:szCs w:val="26"/>
                <w:lang w:eastAsia="zh-CN"/>
              </w:rPr>
            </w:pPr>
            <w:r>
              <w:rPr>
                <w:rFonts w:hint="eastAsia" w:ascii="仿宋_GB2312" w:hAnsi="仿宋_GB2312" w:eastAsia="仿宋_GB2312" w:cs="仿宋_GB2312"/>
                <w:sz w:val="26"/>
                <w:szCs w:val="26"/>
                <w:lang w:val="en-US" w:eastAsia="zh-CN"/>
              </w:rPr>
              <w:t>共计</w:t>
            </w:r>
            <w:r>
              <w:rPr>
                <w:rFonts w:hint="eastAsia" w:ascii="仿宋_GB2312" w:hAnsi="仿宋_GB2312" w:eastAsia="仿宋_GB2312" w:cs="仿宋_GB2312"/>
                <w:sz w:val="26"/>
                <w:szCs w:val="26"/>
              </w:rPr>
              <w:t>183,465.6元</w:t>
            </w:r>
            <w:r>
              <w:rPr>
                <w:rFonts w:hint="eastAsia" w:ascii="仿宋_GB2312" w:hAnsi="仿宋_GB2312" w:eastAsia="仿宋_GB2312" w:cs="仿宋_GB2312"/>
                <w:sz w:val="26"/>
                <w:szCs w:val="26"/>
                <w:lang w:eastAsia="zh-CN"/>
              </w:rPr>
              <w:t>，</w:t>
            </w:r>
            <w:r>
              <w:rPr>
                <w:rFonts w:hint="eastAsia" w:ascii="仿宋_GB2312" w:hAnsi="仿宋_GB2312" w:eastAsia="仿宋_GB2312" w:cs="仿宋_GB2312"/>
                <w:sz w:val="26"/>
                <w:szCs w:val="26"/>
                <w:lang w:val="en-US" w:eastAsia="zh-CN"/>
              </w:rPr>
              <w:t>其中不含税金额174729.14元，税额8736.46元</w:t>
            </w:r>
          </w:p>
        </w:tc>
      </w:tr>
    </w:tbl>
    <w:p w14:paraId="31E07523">
      <w:pPr>
        <w:snapToGrid w:val="0"/>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4.2押金为人民币</w:t>
      </w:r>
      <w:r>
        <w:rPr>
          <w:rFonts w:hint="eastAsia" w:ascii="仿宋_GB2312" w:hAnsi="仿宋_GB2312" w:eastAsia="仿宋_GB2312" w:cs="仿宋_GB2312"/>
          <w:sz w:val="26"/>
          <w:szCs w:val="26"/>
          <w:u w:val="single"/>
        </w:rPr>
        <w:t>100,000元（</w:t>
      </w:r>
      <w:r>
        <w:rPr>
          <w:rFonts w:hint="eastAsia" w:ascii="仿宋_GB2312" w:hAnsi="仿宋_GB2312" w:eastAsia="仿宋_GB2312" w:cs="仿宋_GB2312"/>
          <w:b/>
          <w:bCs/>
          <w:sz w:val="26"/>
          <w:szCs w:val="26"/>
          <w:u w:val="single"/>
        </w:rPr>
        <w:t>壹拾万元整</w:t>
      </w:r>
      <w:r>
        <w:rPr>
          <w:rFonts w:hint="eastAsia" w:ascii="仿宋_GB2312" w:hAnsi="仿宋_GB2312" w:eastAsia="仿宋_GB2312" w:cs="仿宋_GB2312"/>
          <w:sz w:val="26"/>
          <w:szCs w:val="26"/>
          <w:u w:val="single"/>
        </w:rPr>
        <w:t>）</w:t>
      </w:r>
    </w:p>
    <w:p w14:paraId="3FE2B160">
      <w:pPr>
        <w:spacing w:line="440" w:lineRule="exact"/>
        <w:ind w:firstLine="520" w:firstLineChars="200"/>
        <w:rPr>
          <w:rFonts w:ascii="仿宋_GB2312" w:hAnsi="仿宋_GB2312" w:eastAsia="仿宋_GB2312" w:cs="仿宋_GB2312"/>
          <w:sz w:val="25"/>
          <w:szCs w:val="25"/>
        </w:rPr>
      </w:pPr>
      <w:r>
        <w:rPr>
          <w:rFonts w:hint="eastAsia" w:ascii="仿宋_GB2312" w:hAnsi="仿宋_GB2312" w:eastAsia="仿宋_GB2312" w:cs="仿宋_GB2312"/>
          <w:sz w:val="26"/>
          <w:szCs w:val="26"/>
        </w:rPr>
        <w:t>4.3首次</w:t>
      </w:r>
      <w:r>
        <w:rPr>
          <w:rFonts w:hint="eastAsia" w:ascii="仿宋_GB2312" w:hAnsi="仿宋_GB2312" w:eastAsia="仿宋_GB2312" w:cs="仿宋_GB2312"/>
          <w:sz w:val="25"/>
          <w:szCs w:val="25"/>
        </w:rPr>
        <w:t>租金连同押金于本合同签章生效后10个工作日内支付。甲方在收到乙方租金后应向乙方开具合法有效的增值税专用发票，收到乙方押金后应向乙方出具收据；乙方逾期15日不支付租金及押金，甲方有权解除合同。</w:t>
      </w:r>
    </w:p>
    <w:p w14:paraId="2ED10019">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4.4乙方应通过银行转账向甲方支付房屋租金和押金。</w:t>
      </w:r>
    </w:p>
    <w:p w14:paraId="31BB65A4">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4.5甲方的开票信息如下:</w:t>
      </w:r>
    </w:p>
    <w:p w14:paraId="15E2CC55">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开票名称：三亚南新实业有限公司</w:t>
      </w:r>
    </w:p>
    <w:p w14:paraId="09800EA0">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纳税人识别号：914602002013479917</w:t>
      </w:r>
    </w:p>
    <w:p w14:paraId="70B11FF0">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单位地址：海南省三亚市吉阳区荔枝沟路105号三亚南新实业公司办公楼2-3层</w:t>
      </w:r>
    </w:p>
    <w:p w14:paraId="2CA31389">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电话号码：0898-88381625</w:t>
      </w:r>
    </w:p>
    <w:p w14:paraId="697E490D">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开户银行：中国工商银行股份有限公司三亚金鸡岭支行</w:t>
      </w:r>
    </w:p>
    <w:p w14:paraId="0A48C779">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银行账户：2201026319200197676</w:t>
      </w:r>
    </w:p>
    <w:p w14:paraId="34DAD899">
      <w:pPr>
        <w:spacing w:line="440" w:lineRule="exact"/>
        <w:ind w:firstLine="522" w:firstLineChars="200"/>
        <w:rPr>
          <w:rFonts w:ascii="仿宋_GB2312" w:hAnsi="仿宋_GB2312" w:eastAsia="仿宋_GB2312" w:cs="仿宋_GB2312"/>
          <w:sz w:val="26"/>
          <w:szCs w:val="26"/>
        </w:rPr>
      </w:pPr>
      <w:r>
        <w:rPr>
          <w:rFonts w:hint="eastAsia" w:ascii="仿宋_GB2312" w:hAnsi="仿宋_GB2312" w:eastAsia="仿宋_GB2312" w:cs="仿宋_GB2312"/>
          <w:b/>
          <w:bCs/>
          <w:sz w:val="26"/>
          <w:szCs w:val="26"/>
        </w:rPr>
        <w:t>五、其他费用</w:t>
      </w:r>
    </w:p>
    <w:p w14:paraId="7AE06280">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5.1乙方承担房屋租赁期间的费用，包括但不限于水费、电费、燃气费、电话费、网络费、电视收视费、物业管理费等相关费用，并由乙方向相关部门自行缴纳。</w:t>
      </w:r>
    </w:p>
    <w:p w14:paraId="0DF75A1C">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5.2物业管理费由乙方直接向物业公司缴交。</w:t>
      </w:r>
    </w:p>
    <w:p w14:paraId="24C6C210">
      <w:pPr>
        <w:spacing w:line="440" w:lineRule="exact"/>
        <w:ind w:firstLine="522" w:firstLineChars="200"/>
        <w:rPr>
          <w:rFonts w:ascii="仿宋_GB2312" w:hAnsi="仿宋_GB2312" w:eastAsia="仿宋_GB2312" w:cs="仿宋_GB2312"/>
          <w:sz w:val="26"/>
          <w:szCs w:val="26"/>
        </w:rPr>
      </w:pPr>
      <w:r>
        <w:rPr>
          <w:rFonts w:hint="eastAsia" w:ascii="仿宋_GB2312" w:hAnsi="仿宋_GB2312" w:eastAsia="仿宋_GB2312" w:cs="仿宋_GB2312"/>
          <w:b/>
          <w:bCs/>
          <w:sz w:val="26"/>
          <w:szCs w:val="26"/>
        </w:rPr>
        <w:t>六、房屋的返还</w:t>
      </w:r>
    </w:p>
    <w:p w14:paraId="38E47A50">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6.1租赁期满或合同解除，乙方应把房屋内卫生打扫干净后向甲方交还房屋，甲方验收合格无损坏后方可将押金无息退回给乙方，如乙方对房屋及房屋内</w:t>
      </w:r>
      <w:r>
        <w:rPr>
          <w:rFonts w:hint="eastAsia" w:ascii="仿宋_GB2312" w:hAnsi="仿宋_GB2312" w:eastAsia="仿宋_GB2312" w:cs="仿宋_GB2312"/>
          <w:sz w:val="24"/>
        </w:rPr>
        <w:t>甲</w:t>
      </w:r>
      <w:r>
        <w:rPr>
          <w:rFonts w:hint="eastAsia" w:ascii="仿宋_GB2312" w:hAnsi="仿宋_GB2312" w:eastAsia="仿宋_GB2312" w:cs="仿宋_GB2312"/>
          <w:sz w:val="26"/>
          <w:szCs w:val="26"/>
        </w:rPr>
        <w:t>方原有设备设施造成损坏的，甲方有权从押金中扣除，如押金不够弥补损失的，甲方有权另行向乙方主张。</w:t>
      </w:r>
    </w:p>
    <w:p w14:paraId="7B952DEC">
      <w:pPr>
        <w:spacing w:line="440" w:lineRule="exact"/>
        <w:ind w:firstLine="522" w:firstLineChars="200"/>
        <w:rPr>
          <w:rFonts w:ascii="仿宋_GB2312" w:hAnsi="仿宋_GB2312" w:eastAsia="仿宋_GB2312" w:cs="仿宋_GB2312"/>
          <w:b/>
          <w:bCs/>
          <w:sz w:val="26"/>
          <w:szCs w:val="26"/>
        </w:rPr>
      </w:pPr>
      <w:r>
        <w:rPr>
          <w:rFonts w:hint="eastAsia" w:ascii="仿宋_GB2312" w:hAnsi="仿宋_GB2312" w:eastAsia="仿宋_GB2312" w:cs="仿宋_GB2312"/>
          <w:b/>
          <w:bCs/>
          <w:sz w:val="26"/>
          <w:szCs w:val="26"/>
        </w:rPr>
        <w:t>七、房屋装修及维修</w:t>
      </w:r>
    </w:p>
    <w:p w14:paraId="330BB320">
      <w:pPr>
        <w:spacing w:line="440" w:lineRule="exact"/>
        <w:ind w:firstLine="500" w:firstLineChars="200"/>
        <w:rPr>
          <w:rFonts w:ascii="仿宋_GB2312" w:hAnsi="仿宋_GB2312" w:eastAsia="仿宋_GB2312" w:cs="仿宋_GB2312"/>
          <w:sz w:val="25"/>
          <w:szCs w:val="25"/>
        </w:rPr>
      </w:pPr>
      <w:r>
        <w:rPr>
          <w:rFonts w:hint="eastAsia" w:ascii="仿宋_GB2312" w:hAnsi="仿宋_GB2312" w:eastAsia="仿宋_GB2312" w:cs="仿宋_GB2312"/>
          <w:sz w:val="25"/>
          <w:szCs w:val="25"/>
        </w:rPr>
        <w:t>7.1乙方根据经营需要可对房屋进行装修，装修方案必须经过甲方的书面同意，不得破坏或有损房屋的主体结构、承重结构等房屋重要部件；因乙方未经许可擅自装修或不按装修方案进行装修，导致财产损失或人身损害的，由乙方承担全部经济和法律责任。</w:t>
      </w:r>
    </w:p>
    <w:p w14:paraId="45874BD8">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7.2乙方对房屋装修、改造的相关费用均由乙方据实承担。</w:t>
      </w:r>
    </w:p>
    <w:p w14:paraId="6CEA5A7F">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7.3合同期限届满或终止，甲方对乙方装修装饰部分不作任何补偿。</w:t>
      </w:r>
    </w:p>
    <w:p w14:paraId="0A1E47F3">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7.4乙方应合理使用并爱护租赁房屋及其附属设施。因乙方保管不当或不合理使用，致使该房屋及其附属设施发生损坏或故障的，乙方应承担赔偿责任。如乙方拒不维修，甲方可代为维修，费用由乙方承担。</w:t>
      </w:r>
    </w:p>
    <w:p w14:paraId="4E3B9448">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7.5租赁房屋内部的维修由乙方负责，相关费用由乙方据实承担。公共区域的维修由甲方负责，相关费用由甲方据实承担。</w:t>
      </w:r>
    </w:p>
    <w:p w14:paraId="3F9AB42C">
      <w:pPr>
        <w:spacing w:line="440" w:lineRule="exact"/>
        <w:ind w:firstLine="522" w:firstLineChars="200"/>
        <w:rPr>
          <w:rFonts w:ascii="仿宋_GB2312" w:hAnsi="仿宋_GB2312" w:eastAsia="仿宋_GB2312" w:cs="仿宋_GB2312"/>
          <w:b/>
          <w:bCs/>
          <w:sz w:val="26"/>
          <w:szCs w:val="26"/>
        </w:rPr>
      </w:pPr>
      <w:r>
        <w:rPr>
          <w:rFonts w:hint="eastAsia" w:ascii="仿宋_GB2312" w:hAnsi="仿宋_GB2312" w:eastAsia="仿宋_GB2312" w:cs="仿宋_GB2312"/>
          <w:b/>
          <w:bCs/>
          <w:sz w:val="26"/>
          <w:szCs w:val="26"/>
        </w:rPr>
        <w:t>八、转租</w:t>
      </w:r>
    </w:p>
    <w:p w14:paraId="24DBA54F">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8.1未经甲方书面同意，乙方不得擅自将</w:t>
      </w:r>
      <w:r>
        <w:rPr>
          <w:rFonts w:hint="eastAsia" w:ascii="仿宋_GB2312" w:hAnsi="仿宋_GB2312" w:eastAsia="仿宋_GB2312" w:cs="仿宋_GB2312"/>
          <w:sz w:val="25"/>
          <w:szCs w:val="25"/>
        </w:rPr>
        <w:t>承租房屋租赁经营权</w:t>
      </w:r>
      <w:r>
        <w:rPr>
          <w:rFonts w:hint="eastAsia" w:ascii="仿宋_GB2312" w:hAnsi="仿宋_GB2312" w:eastAsia="仿宋_GB2312" w:cs="仿宋_GB2312"/>
          <w:sz w:val="26"/>
          <w:szCs w:val="26"/>
        </w:rPr>
        <w:t>转让。</w:t>
      </w:r>
    </w:p>
    <w:p w14:paraId="75774DB5">
      <w:pPr>
        <w:spacing w:line="440" w:lineRule="exact"/>
        <w:ind w:firstLine="522" w:firstLineChars="200"/>
        <w:rPr>
          <w:rFonts w:ascii="仿宋_GB2312" w:hAnsi="仿宋_GB2312" w:eastAsia="仿宋_GB2312" w:cs="仿宋_GB2312"/>
          <w:b/>
          <w:bCs/>
          <w:sz w:val="26"/>
          <w:szCs w:val="26"/>
        </w:rPr>
      </w:pPr>
      <w:r>
        <w:rPr>
          <w:rFonts w:hint="eastAsia" w:ascii="仿宋_GB2312" w:hAnsi="仿宋_GB2312" w:eastAsia="仿宋_GB2312" w:cs="仿宋_GB2312"/>
          <w:b/>
          <w:bCs/>
          <w:sz w:val="26"/>
          <w:szCs w:val="26"/>
        </w:rPr>
        <w:t>九、甲方权利义务</w:t>
      </w:r>
    </w:p>
    <w:p w14:paraId="3CF1E72C">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9.1按合同约定收取租金和押金。</w:t>
      </w:r>
    </w:p>
    <w:p w14:paraId="568E5E26">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9.2对乙方的装修方案进行监督和审查并提出意见。</w:t>
      </w:r>
    </w:p>
    <w:p w14:paraId="02FB1AB8">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9.3按合同约定向乙方提供房屋。</w:t>
      </w:r>
    </w:p>
    <w:p w14:paraId="3F9856D3">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9.4甲方保证对租赁房屋及其占用范围内的土地使用权享有完全合法所有权、处分权及租赁权或转租权，未依法设立居住权，且在租赁期间也不得新设居住权；租赁房屋系合法建筑，未设置抵押权及其他限制性物权，不存在相关法律法规禁止出租的其他情形。</w:t>
      </w:r>
    </w:p>
    <w:p w14:paraId="230AB434">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9.5甲方保证有权合法出租该租赁房屋，并保证租赁房屋已取得房屋共有人的书面同意（如有）。</w:t>
      </w:r>
    </w:p>
    <w:p w14:paraId="58F9C438">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9.6甲方出租房屋时，保证向乙方提供与租赁房屋有关的所有文件真实、合法、有效；保证乙方按合同约定用途正常使用，符合安全标准，不存在危及安全的其他隐患。</w:t>
      </w:r>
    </w:p>
    <w:p w14:paraId="25D6FCE1">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9.7甲方确认租赁房屋移交乙方时，房屋为空屋状态，可供办公使用。</w:t>
      </w:r>
    </w:p>
    <w:p w14:paraId="429EB986">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9.8甲方有权书面通知乙方90天后提前终止合同并收回房屋。</w:t>
      </w:r>
    </w:p>
    <w:p w14:paraId="0A3A9E1A">
      <w:pPr>
        <w:spacing w:line="440" w:lineRule="exact"/>
        <w:ind w:firstLine="522" w:firstLineChars="200"/>
        <w:rPr>
          <w:rFonts w:ascii="仿宋_GB2312" w:hAnsi="仿宋_GB2312" w:eastAsia="仿宋_GB2312" w:cs="仿宋_GB2312"/>
          <w:b/>
          <w:bCs/>
          <w:sz w:val="26"/>
          <w:szCs w:val="26"/>
        </w:rPr>
      </w:pPr>
      <w:r>
        <w:rPr>
          <w:rFonts w:hint="eastAsia" w:ascii="仿宋_GB2312" w:hAnsi="仿宋_GB2312" w:eastAsia="仿宋_GB2312" w:cs="仿宋_GB2312"/>
          <w:b/>
          <w:bCs/>
          <w:sz w:val="26"/>
          <w:szCs w:val="26"/>
        </w:rPr>
        <w:t>十、乙方权利义务</w:t>
      </w:r>
    </w:p>
    <w:p w14:paraId="6F4A3DB0">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10.1合同期内，拥有房屋的使用权和经营权。</w:t>
      </w:r>
    </w:p>
    <w:p w14:paraId="16D3F4CA">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10.2按合同约定用途使用房屋，依法开展经营活动。</w:t>
      </w:r>
    </w:p>
    <w:p w14:paraId="4D65FC9E">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10.3合同期限届满或终止，乙方应于15日内腾空室内财物、将注册地址迁出甲方房产；每逾期一日，甲方有权要求乙方按当年租金总额的万分之一收取违约金，造成甲方损失的乙方应另行赔偿。</w:t>
      </w:r>
    </w:p>
    <w:p w14:paraId="2FF17759">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10.4按合同约定交纳租金、押金及其它费用。</w:t>
      </w:r>
    </w:p>
    <w:p w14:paraId="15694726">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10.5不得在房屋内存放易燃、易爆等危险品。</w:t>
      </w:r>
    </w:p>
    <w:p w14:paraId="5BA21E3D">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10.6对租赁期间所发生一切安全事故和违法活动等承担全部责任。</w:t>
      </w:r>
    </w:p>
    <w:p w14:paraId="3740E340">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10.7自行办理经营活动许可证等手续。如乙方未经政府职能部门许可不得开展经营活动。乙方办理经营许可需甲方出具证照或其他材料的，甲方应予以配合。</w:t>
      </w:r>
    </w:p>
    <w:p w14:paraId="1DF78F2D">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10.8乙方因经营需要经过甲方书面同意后可对房屋进行装修改造。合同期满或合同终止(政府征收除外)，乙方装修部分的价值归甲方所有，甲方对乙方装修不作任何补偿。</w:t>
      </w:r>
    </w:p>
    <w:p w14:paraId="0E65E0F7">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10.9合同期满或合同终止乙方购买的办公设备等可移动物品，乙方自行处理，甲方不做任何补偿。</w:t>
      </w:r>
    </w:p>
    <w:p w14:paraId="466D3E73">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10.10租赁期间，甲方的二楼、五楼会议室，乙方有会议需求时可无偿使用，使用前须跟甲方协调使用时间。</w:t>
      </w:r>
    </w:p>
    <w:p w14:paraId="7911550F">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10.11乙方有权书面通知甲方90天后提前终止合同。</w:t>
      </w:r>
    </w:p>
    <w:p w14:paraId="2E9A453C">
      <w:pPr>
        <w:spacing w:line="440" w:lineRule="exact"/>
        <w:ind w:firstLine="522" w:firstLineChars="200"/>
        <w:rPr>
          <w:rFonts w:ascii="仿宋_GB2312" w:hAnsi="仿宋_GB2312" w:eastAsia="仿宋_GB2312" w:cs="仿宋_GB2312"/>
          <w:sz w:val="26"/>
          <w:szCs w:val="26"/>
        </w:rPr>
      </w:pPr>
      <w:r>
        <w:rPr>
          <w:rFonts w:hint="eastAsia" w:ascii="仿宋_GB2312" w:hAnsi="仿宋_GB2312" w:eastAsia="仿宋_GB2312" w:cs="仿宋_GB2312"/>
          <w:b/>
          <w:bCs/>
          <w:sz w:val="26"/>
          <w:szCs w:val="26"/>
        </w:rPr>
        <w:t>十一、违约责任</w:t>
      </w:r>
    </w:p>
    <w:p w14:paraId="19A0BA87">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11.1若逾期交付房屋超过30日，乙方有权解除合同。甲方应在15个工作日内无息退还乙方交纳的租金和押金，若甲方逾期退还租金，每逾期一日，应以未退还租金为基数按中国人民银行同期贷款利率向乙方支付违约金。</w:t>
      </w:r>
    </w:p>
    <w:p w14:paraId="57234DF8">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11.2若乙方逾期交纳租金，每逾期一日，应以欠缴租金为基数按中国人民银行同期贷款利率向甲方支付违约金。逾期超过15日的，甲方有权解除本合同，并要求乙方按本合同年租金的10%承担违约金，如违约不能弥补损失的，甲方有权另行向乙方追偿。</w:t>
      </w:r>
    </w:p>
    <w:p w14:paraId="051A3460">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11.3乙方未经甲方同意，将承租房屋的经营权转让给第三人使用或擅自改变用途，甲方有权单方解除本合同，并要求乙方按本合同年租金的10%承担违约金，如违约不能弥补损失的，甲方有权另行向乙方追偿。</w:t>
      </w:r>
    </w:p>
    <w:p w14:paraId="7352AE91">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11.4甲方有权从押金中扣取乙方应当缴纳的租金、违约金及房屋租赁期间产生的各项费用，乙方在收到甲方通知起10日内应补齐押金数额，否则甲方有权解除本合同，并要求乙方按本合同年租金的10%承担违约金，如违约金不能弥补损失的，甲方有权另行向乙方追偿。</w:t>
      </w:r>
    </w:p>
    <w:p w14:paraId="1AA4FF79">
      <w:pPr>
        <w:spacing w:line="440" w:lineRule="exact"/>
        <w:ind w:firstLine="522" w:firstLineChars="200"/>
        <w:rPr>
          <w:rFonts w:ascii="仿宋_GB2312" w:hAnsi="仿宋_GB2312" w:eastAsia="仿宋_GB2312" w:cs="仿宋_GB2312"/>
          <w:b/>
          <w:bCs/>
          <w:sz w:val="26"/>
          <w:szCs w:val="26"/>
        </w:rPr>
      </w:pPr>
      <w:r>
        <w:rPr>
          <w:rFonts w:hint="eastAsia" w:ascii="仿宋_GB2312" w:hAnsi="仿宋_GB2312" w:eastAsia="仿宋_GB2312" w:cs="仿宋_GB2312"/>
          <w:b/>
          <w:bCs/>
          <w:sz w:val="26"/>
          <w:szCs w:val="26"/>
        </w:rPr>
        <w:t>十二、特别条款</w:t>
      </w:r>
    </w:p>
    <w:p w14:paraId="30D9256B">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12.1因国家、地方政府建设需要或政府征收，导致本合同终止，双方互不承担违约责任。</w:t>
      </w:r>
    </w:p>
    <w:p w14:paraId="3C8F20AA">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12.2租赁期限内如遇政府征收。政府对租赁房屋装饰装修部分价值的补偿，属于乙方装饰装修的部分应归乙方所有。</w:t>
      </w:r>
    </w:p>
    <w:p w14:paraId="15942AB5">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12.3因国家、地方政府建设需要或政府征收等各种原因，导致本合同终止甲方应在10个工作日内无息退还乙方未使用期间的租金，若甲方逾期退还租金，每逾期一日，应以未退还租金为基数按中国人民银行同期贷款利率向甲方支付违约金。</w:t>
      </w:r>
    </w:p>
    <w:p w14:paraId="0477D53D">
      <w:pPr>
        <w:spacing w:line="440" w:lineRule="exact"/>
        <w:ind w:firstLine="522" w:firstLineChars="200"/>
        <w:rPr>
          <w:rFonts w:ascii="仿宋_GB2312" w:hAnsi="仿宋_GB2312" w:eastAsia="仿宋_GB2312" w:cs="仿宋_GB2312"/>
          <w:b/>
          <w:bCs/>
          <w:sz w:val="26"/>
          <w:szCs w:val="26"/>
        </w:rPr>
      </w:pPr>
      <w:r>
        <w:rPr>
          <w:rFonts w:hint="eastAsia" w:ascii="仿宋_GB2312" w:hAnsi="仿宋_GB2312" w:eastAsia="仿宋_GB2312" w:cs="仿宋_GB2312"/>
          <w:b/>
          <w:bCs/>
          <w:sz w:val="26"/>
          <w:szCs w:val="26"/>
        </w:rPr>
        <w:t>十三、其他</w:t>
      </w:r>
    </w:p>
    <w:p w14:paraId="4593A0B1">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13.1本合同壹式肆份，甲乙双方各执贰份，均具有同等法律效力。自甲乙双方法定代表人签字盖章后生效。</w:t>
      </w:r>
    </w:p>
    <w:p w14:paraId="31D202BB">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13.2本合同履行过程中争议，由双方协商解决，若协商不成，提交三亚市有管辖权的人民法院通过诉讼程序解决。</w:t>
      </w:r>
    </w:p>
    <w:p w14:paraId="72CCA819">
      <w:pPr>
        <w:spacing w:line="440" w:lineRule="exact"/>
        <w:ind w:firstLine="520" w:firstLineChars="200"/>
        <w:rPr>
          <w:rFonts w:ascii="仿宋_GB2312" w:hAnsi="仿宋_GB2312" w:eastAsia="仿宋_GB2312" w:cs="仿宋_GB2312"/>
          <w:sz w:val="26"/>
          <w:szCs w:val="26"/>
        </w:rPr>
      </w:pPr>
      <w:r>
        <w:rPr>
          <w:rFonts w:hint="eastAsia" w:ascii="仿宋_GB2312" w:hAnsi="仿宋_GB2312" w:eastAsia="仿宋_GB2312" w:cs="仿宋_GB2312"/>
          <w:sz w:val="26"/>
          <w:szCs w:val="26"/>
        </w:rPr>
        <w:t>13.3本合同履行过程中所有通知、声明或其他文件应采取书面形式。</w:t>
      </w:r>
    </w:p>
    <w:p w14:paraId="7D47AE1B">
      <w:pPr>
        <w:spacing w:line="440" w:lineRule="exact"/>
        <w:jc w:val="left"/>
        <w:rPr>
          <w:rFonts w:ascii="仿宋_GB2312" w:hAnsi="仿宋_GB2312" w:eastAsia="仿宋_GB2312" w:cs="仿宋_GB2312"/>
          <w:sz w:val="26"/>
          <w:szCs w:val="26"/>
        </w:rPr>
      </w:pPr>
    </w:p>
    <w:p w14:paraId="176A7B32">
      <w:pPr>
        <w:spacing w:line="440" w:lineRule="exact"/>
        <w:jc w:val="left"/>
        <w:rPr>
          <w:rFonts w:ascii="仿宋_GB2312" w:hAnsi="仿宋_GB2312" w:eastAsia="仿宋_GB2312" w:cs="仿宋_GB2312"/>
          <w:sz w:val="26"/>
          <w:szCs w:val="26"/>
        </w:rPr>
      </w:pPr>
    </w:p>
    <w:p w14:paraId="1FF65221">
      <w:pPr>
        <w:spacing w:line="440" w:lineRule="exact"/>
        <w:rPr>
          <w:rFonts w:ascii="仿宋_GB2312" w:hAnsi="仿宋_GB2312" w:eastAsia="仿宋_GB2312" w:cs="仿宋_GB2312"/>
          <w:sz w:val="26"/>
          <w:szCs w:val="26"/>
        </w:rPr>
      </w:pPr>
    </w:p>
    <w:p w14:paraId="6BC1ACB2">
      <w:pPr>
        <w:tabs>
          <w:tab w:val="left" w:pos="4830"/>
        </w:tabs>
        <w:spacing w:line="440" w:lineRule="exact"/>
        <w:rPr>
          <w:rFonts w:ascii="仿宋_GB2312" w:hAnsi="仿宋_GB2312" w:eastAsia="仿宋_GB2312" w:cs="仿宋_GB2312"/>
          <w:sz w:val="26"/>
          <w:szCs w:val="26"/>
        </w:rPr>
      </w:pPr>
      <w:r>
        <w:rPr>
          <w:rFonts w:hint="eastAsia" w:ascii="仿宋_GB2312" w:hAnsi="仿宋_GB2312" w:eastAsia="仿宋_GB2312" w:cs="仿宋_GB2312"/>
          <w:sz w:val="26"/>
          <w:szCs w:val="26"/>
        </w:rPr>
        <w:t>甲方（盖章）：</w:t>
      </w:r>
      <w:r>
        <w:rPr>
          <w:rFonts w:hint="eastAsia" w:ascii="仿宋_GB2312" w:hAnsi="仿宋_GB2312" w:eastAsia="仿宋_GB2312" w:cs="仿宋_GB2312"/>
          <w:sz w:val="26"/>
          <w:szCs w:val="26"/>
        </w:rPr>
        <w:tab/>
      </w:r>
      <w:r>
        <w:rPr>
          <w:rFonts w:hint="eastAsia" w:ascii="仿宋_GB2312" w:hAnsi="仿宋_GB2312" w:eastAsia="仿宋_GB2312" w:cs="仿宋_GB2312"/>
          <w:sz w:val="26"/>
          <w:szCs w:val="26"/>
        </w:rPr>
        <w:t>乙方（盖章）：</w:t>
      </w:r>
    </w:p>
    <w:p w14:paraId="32FD8FC6">
      <w:pPr>
        <w:spacing w:line="440" w:lineRule="exact"/>
        <w:jc w:val="left"/>
        <w:rPr>
          <w:rFonts w:ascii="仿宋_GB2312" w:hAnsi="仿宋_GB2312" w:eastAsia="仿宋_GB2312" w:cs="仿宋_GB2312"/>
          <w:sz w:val="26"/>
          <w:szCs w:val="26"/>
        </w:rPr>
      </w:pPr>
    </w:p>
    <w:p w14:paraId="178F756C">
      <w:pPr>
        <w:spacing w:line="440" w:lineRule="exact"/>
        <w:rPr>
          <w:rFonts w:ascii="仿宋_GB2312" w:hAnsi="仿宋_GB2312" w:eastAsia="仿宋_GB2312" w:cs="仿宋_GB2312"/>
          <w:sz w:val="26"/>
          <w:szCs w:val="26"/>
        </w:rPr>
      </w:pPr>
    </w:p>
    <w:p w14:paraId="280FB469">
      <w:pPr>
        <w:tabs>
          <w:tab w:val="left" w:pos="4830"/>
        </w:tabs>
        <w:spacing w:line="440" w:lineRule="exact"/>
        <w:rPr>
          <w:rFonts w:ascii="仿宋_GB2312" w:hAnsi="仿宋_GB2312" w:eastAsia="仿宋_GB2312" w:cs="仿宋_GB2312"/>
          <w:sz w:val="26"/>
          <w:szCs w:val="26"/>
        </w:rPr>
      </w:pPr>
      <w:r>
        <w:rPr>
          <w:rFonts w:hint="eastAsia" w:ascii="仿宋_GB2312" w:hAnsi="仿宋_GB2312" w:eastAsia="仿宋_GB2312" w:cs="仿宋_GB2312"/>
          <w:sz w:val="26"/>
          <w:szCs w:val="26"/>
        </w:rPr>
        <w:t>法定代表人/授权代表：</w:t>
      </w:r>
      <w:r>
        <w:rPr>
          <w:rFonts w:hint="eastAsia" w:ascii="仿宋_GB2312" w:hAnsi="仿宋_GB2312" w:eastAsia="仿宋_GB2312" w:cs="仿宋_GB2312"/>
          <w:sz w:val="26"/>
          <w:szCs w:val="26"/>
        </w:rPr>
        <w:tab/>
      </w:r>
      <w:r>
        <w:rPr>
          <w:rFonts w:hint="eastAsia" w:ascii="仿宋_GB2312" w:hAnsi="仿宋_GB2312" w:eastAsia="仿宋_GB2312" w:cs="仿宋_GB2312"/>
          <w:sz w:val="26"/>
          <w:szCs w:val="26"/>
        </w:rPr>
        <w:t>法定代表人/授权代表:</w:t>
      </w:r>
    </w:p>
    <w:p w14:paraId="3BA7CFDD">
      <w:pPr>
        <w:spacing w:line="440" w:lineRule="exact"/>
        <w:rPr>
          <w:rFonts w:ascii="仿宋_GB2312" w:hAnsi="仿宋_GB2312" w:eastAsia="仿宋_GB2312" w:cs="仿宋_GB2312"/>
          <w:sz w:val="26"/>
          <w:szCs w:val="26"/>
        </w:rPr>
      </w:pPr>
    </w:p>
    <w:p w14:paraId="17DA7FD0">
      <w:pPr>
        <w:spacing w:line="440" w:lineRule="exact"/>
        <w:rPr>
          <w:rFonts w:ascii="仿宋_GB2312" w:hAnsi="仿宋_GB2312" w:eastAsia="仿宋_GB2312" w:cs="仿宋_GB2312"/>
          <w:sz w:val="26"/>
          <w:szCs w:val="26"/>
        </w:rPr>
      </w:pPr>
    </w:p>
    <w:p w14:paraId="3B7D8990">
      <w:pPr>
        <w:tabs>
          <w:tab w:val="left" w:pos="4830"/>
        </w:tabs>
        <w:spacing w:line="440" w:lineRule="exact"/>
        <w:rPr>
          <w:rFonts w:ascii="仿宋_GB2312" w:hAnsi="仿宋_GB2312" w:eastAsia="仿宋_GB2312" w:cs="仿宋_GB2312"/>
          <w:sz w:val="26"/>
          <w:szCs w:val="26"/>
        </w:rPr>
      </w:pPr>
      <w:r>
        <w:rPr>
          <w:rFonts w:hint="eastAsia" w:ascii="仿宋_GB2312" w:hAnsi="仿宋_GB2312" w:eastAsia="仿宋_GB2312" w:cs="仿宋_GB2312"/>
          <w:sz w:val="26"/>
          <w:szCs w:val="26"/>
        </w:rPr>
        <w:t>签订时间</w:t>
      </w:r>
      <w:r>
        <w:rPr>
          <w:rFonts w:hint="eastAsia" w:ascii="仿宋_GB2312" w:hAnsi="仿宋_GB2312" w:eastAsia="仿宋_GB2312" w:cs="仿宋_GB2312"/>
          <w:sz w:val="26"/>
          <w:szCs w:val="26"/>
        </w:rPr>
        <w:tab/>
      </w:r>
      <w:r>
        <w:rPr>
          <w:rFonts w:hint="eastAsia" w:ascii="仿宋_GB2312" w:hAnsi="仿宋_GB2312" w:eastAsia="仿宋_GB2312" w:cs="仿宋_GB2312"/>
          <w:sz w:val="26"/>
          <w:szCs w:val="26"/>
        </w:rPr>
        <w:t>签订地:三亚市</w:t>
      </w:r>
    </w:p>
    <w:p w14:paraId="75A83834">
      <w:pPr>
        <w:spacing w:line="440" w:lineRule="exact"/>
        <w:rPr>
          <w:rFonts w:ascii="仿宋_GB2312" w:hAnsi="仿宋_GB2312" w:eastAsia="仿宋_GB2312" w:cs="仿宋_GB2312"/>
          <w:sz w:val="20"/>
          <w:szCs w:val="20"/>
        </w:rPr>
      </w:pPr>
    </w:p>
    <w:p w14:paraId="027B6B84">
      <w:pPr>
        <w:spacing w:line="440" w:lineRule="exact"/>
        <w:rPr>
          <w:rFonts w:ascii="仿宋_GB2312" w:hAnsi="仿宋_GB2312" w:eastAsia="仿宋_GB2312" w:cs="仿宋_GB2312"/>
          <w:sz w:val="20"/>
          <w:szCs w:val="2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EC40A">
    <w:pPr>
      <w:pStyle w:val="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4BDE7E27">
                <w:pPr>
                  <w:pStyle w:val="2"/>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1"/>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WJlYjBjZGVjYzA5ZDkxN2NiN2I1MmQ5YzFkOTQyMzIifQ=="/>
    <w:docVar w:name="KSO_WPS_MARK_KEY" w:val="bd756dde-4346-4629-9290-1506ebf2155c"/>
  </w:docVars>
  <w:rsids>
    <w:rsidRoot w:val="32597A5C"/>
    <w:rsid w:val="00006D95"/>
    <w:rsid w:val="000879EE"/>
    <w:rsid w:val="00175C89"/>
    <w:rsid w:val="002D1918"/>
    <w:rsid w:val="002F60A1"/>
    <w:rsid w:val="003A0E15"/>
    <w:rsid w:val="004176B7"/>
    <w:rsid w:val="00435CBB"/>
    <w:rsid w:val="004539BC"/>
    <w:rsid w:val="004C64F3"/>
    <w:rsid w:val="005010F6"/>
    <w:rsid w:val="00560C8C"/>
    <w:rsid w:val="00562598"/>
    <w:rsid w:val="006A5C63"/>
    <w:rsid w:val="006D225F"/>
    <w:rsid w:val="0076047B"/>
    <w:rsid w:val="008039F6"/>
    <w:rsid w:val="008425BE"/>
    <w:rsid w:val="008539DC"/>
    <w:rsid w:val="00923D6B"/>
    <w:rsid w:val="00A37773"/>
    <w:rsid w:val="00A772DB"/>
    <w:rsid w:val="00B21DC4"/>
    <w:rsid w:val="00B819A3"/>
    <w:rsid w:val="00BA60D7"/>
    <w:rsid w:val="00C31355"/>
    <w:rsid w:val="00D21172"/>
    <w:rsid w:val="00DC79A9"/>
    <w:rsid w:val="00DE69BB"/>
    <w:rsid w:val="00EB2625"/>
    <w:rsid w:val="010807FE"/>
    <w:rsid w:val="01ED2C50"/>
    <w:rsid w:val="02694FF6"/>
    <w:rsid w:val="02AE5304"/>
    <w:rsid w:val="02B265D2"/>
    <w:rsid w:val="04C5346A"/>
    <w:rsid w:val="054151EB"/>
    <w:rsid w:val="06FD08ED"/>
    <w:rsid w:val="082B1C77"/>
    <w:rsid w:val="0AE22BF4"/>
    <w:rsid w:val="0C3E4885"/>
    <w:rsid w:val="0D26177E"/>
    <w:rsid w:val="0E961669"/>
    <w:rsid w:val="10A07969"/>
    <w:rsid w:val="11096801"/>
    <w:rsid w:val="12B57FC3"/>
    <w:rsid w:val="12FC24B4"/>
    <w:rsid w:val="16AA2858"/>
    <w:rsid w:val="16AE28C5"/>
    <w:rsid w:val="17231CAA"/>
    <w:rsid w:val="17494CC2"/>
    <w:rsid w:val="17E52942"/>
    <w:rsid w:val="182C4A42"/>
    <w:rsid w:val="1C027CCF"/>
    <w:rsid w:val="1D55351E"/>
    <w:rsid w:val="1F0D587D"/>
    <w:rsid w:val="1FC07D4C"/>
    <w:rsid w:val="200A539B"/>
    <w:rsid w:val="21010D4B"/>
    <w:rsid w:val="219168A1"/>
    <w:rsid w:val="239C182B"/>
    <w:rsid w:val="23B11792"/>
    <w:rsid w:val="26A4468E"/>
    <w:rsid w:val="26DD5A8B"/>
    <w:rsid w:val="2872607A"/>
    <w:rsid w:val="28975DA4"/>
    <w:rsid w:val="2A4C79F4"/>
    <w:rsid w:val="2B1D22CA"/>
    <w:rsid w:val="2B235250"/>
    <w:rsid w:val="2E151D13"/>
    <w:rsid w:val="2FE217D8"/>
    <w:rsid w:val="30E42146"/>
    <w:rsid w:val="32597A5C"/>
    <w:rsid w:val="343F0323"/>
    <w:rsid w:val="344F785C"/>
    <w:rsid w:val="34597362"/>
    <w:rsid w:val="361155B9"/>
    <w:rsid w:val="36630549"/>
    <w:rsid w:val="36A05431"/>
    <w:rsid w:val="37947CB6"/>
    <w:rsid w:val="38570151"/>
    <w:rsid w:val="39792E0C"/>
    <w:rsid w:val="3A7E4E86"/>
    <w:rsid w:val="3A890C98"/>
    <w:rsid w:val="3B0B4711"/>
    <w:rsid w:val="3BA15EE2"/>
    <w:rsid w:val="3EC11563"/>
    <w:rsid w:val="3F536673"/>
    <w:rsid w:val="3FB701AB"/>
    <w:rsid w:val="3FCC2AB9"/>
    <w:rsid w:val="4015092F"/>
    <w:rsid w:val="409B3198"/>
    <w:rsid w:val="40AD7DB2"/>
    <w:rsid w:val="43575B74"/>
    <w:rsid w:val="43873B5A"/>
    <w:rsid w:val="43B1111A"/>
    <w:rsid w:val="476602B2"/>
    <w:rsid w:val="47A9421E"/>
    <w:rsid w:val="4848649F"/>
    <w:rsid w:val="48F1459D"/>
    <w:rsid w:val="49B66CED"/>
    <w:rsid w:val="4A8F409C"/>
    <w:rsid w:val="4C1F59F2"/>
    <w:rsid w:val="4C8F60DC"/>
    <w:rsid w:val="4D280422"/>
    <w:rsid w:val="4EDA2738"/>
    <w:rsid w:val="4FCC0727"/>
    <w:rsid w:val="500E01E6"/>
    <w:rsid w:val="50B323A0"/>
    <w:rsid w:val="51334745"/>
    <w:rsid w:val="51902DBC"/>
    <w:rsid w:val="54B322CF"/>
    <w:rsid w:val="54F476EE"/>
    <w:rsid w:val="55AA493C"/>
    <w:rsid w:val="56B20949"/>
    <w:rsid w:val="59650DB9"/>
    <w:rsid w:val="5B0415F6"/>
    <w:rsid w:val="5C432FB8"/>
    <w:rsid w:val="5C975486"/>
    <w:rsid w:val="5D2A3656"/>
    <w:rsid w:val="5D7D47EF"/>
    <w:rsid w:val="5EB76596"/>
    <w:rsid w:val="61204966"/>
    <w:rsid w:val="61335B85"/>
    <w:rsid w:val="61496E53"/>
    <w:rsid w:val="63520D5A"/>
    <w:rsid w:val="64251A7E"/>
    <w:rsid w:val="64E61819"/>
    <w:rsid w:val="65F4562C"/>
    <w:rsid w:val="668F0E15"/>
    <w:rsid w:val="66B32B21"/>
    <w:rsid w:val="68AA2EC7"/>
    <w:rsid w:val="69A12DAA"/>
    <w:rsid w:val="6D501E99"/>
    <w:rsid w:val="75063E02"/>
    <w:rsid w:val="76243697"/>
    <w:rsid w:val="76481AD5"/>
    <w:rsid w:val="7762046E"/>
    <w:rsid w:val="779D28B7"/>
    <w:rsid w:val="7AC932FE"/>
    <w:rsid w:val="7BA1555F"/>
    <w:rsid w:val="7C097A96"/>
    <w:rsid w:val="7CC321BF"/>
    <w:rsid w:val="7E870BA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吉阳区</Company>
  <Pages>5</Pages>
  <Words>475</Words>
  <Characters>2708</Characters>
  <Lines>22</Lines>
  <Paragraphs>6</Paragraphs>
  <TotalTime>14</TotalTime>
  <ScaleCrop>false</ScaleCrop>
  <LinksUpToDate>false</LinksUpToDate>
  <CharactersWithSpaces>3177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2024-06-17T08:26:00Z</dcterms:created>
  <dc:creator>YKOP</dc:creator>
  <cp:lastModifiedBy>Administrator</cp:lastModifiedBy>
  <cp:lastPrinted>2024-07-10T02:11:00Z</cp:lastPrinted>
  <dcterms:modified xsi:type="dcterms:W3CDTF">2026-09-21T09:25:52Z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B97A2E0DA2BB461DBDEC3CF131A3587D_13</vt:lpwstr>
  </property>
</Properties>
</file>