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8FB79">
      <w:pPr>
        <w:jc w:val="center"/>
        <w:rPr>
          <w:rFonts w:hint="eastAsia" w:ascii="方正小标宋简体" w:hAnsi="方正小标宋简体" w:eastAsia="方正小标宋简体" w:cs="方正小标宋简体"/>
          <w:color w:val="000000" w:themeColor="text1"/>
          <w:sz w:val="44"/>
          <w:szCs w:val="44"/>
          <w:u w:val="none"/>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w:t>
      </w:r>
      <w:r>
        <w:rPr>
          <w:rFonts w:hint="eastAsia" w:ascii="方正小标宋简体" w:hAnsi="方正小标宋简体" w:eastAsia="方正小标宋简体" w:cs="方正小标宋简体"/>
          <w:color w:val="000000" w:themeColor="text1"/>
          <w:sz w:val="44"/>
          <w:szCs w:val="44"/>
          <w:u w:val="none"/>
          <w:lang w:val="en-US" w:eastAsia="zh-CN"/>
          <w14:textFill>
            <w14:solidFill>
              <w14:schemeClr w14:val="tx1"/>
            </w14:solidFill>
          </w14:textFill>
        </w:rPr>
        <w:t>土地租赁合同</w:t>
      </w:r>
    </w:p>
    <w:p w14:paraId="750287B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出租方（甲方）：</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D8575D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社会信用代码：</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BE6851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法定代表人</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ABCEF8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身份证号码：</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CE4CBD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联系电话：</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AC62F9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住址</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4D7B379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承租方（乙方）：</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22337E36">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社会信用代码：</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687B10F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法定代表人</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F0C4EC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身份证号码：</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4D2782A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联系电话：</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6B3C252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住址</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1B13631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为保护土地租赁合同双方当事人的合法利益，规范土地管理和承租方经营行为，根据《中华人民共和国土地管理法》《中华人民共和国</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民法典</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》及相关法律、法规和政策规定，经公开协商讨论同意，甲乙双方本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着</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平等、自愿、公平、有偿的原则，签订本合同，共同信守。</w:t>
      </w:r>
    </w:p>
    <w:p w14:paraId="351ED2B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第一条租赁位置和面积</w:t>
      </w:r>
    </w:p>
    <w:p w14:paraId="17E50EF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甲方租赁给乙方的土地位于昌江</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黎族自治</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县叉河镇</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，四至界限方位如下：</w:t>
      </w:r>
    </w:p>
    <w:p w14:paraId="3702F8E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东起：</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7CE1AA1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西至：</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20AAF4D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北至：</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3A909BC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南至：</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7AB81E2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面积数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由</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甲乙双方签订确认</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亩</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294CDEC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第二条土地用途和承包形式</w:t>
      </w:r>
    </w:p>
    <w:p w14:paraId="5E1529F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土地用途：</w:t>
      </w:r>
      <w:r>
        <w:rPr>
          <w:rFonts w:hint="eastAsia" w:ascii="仿宋_GB2312" w:hAnsi="仿宋_GB2312" w:eastAsia="仿宋_GB2312" w:cs="仿宋_GB2312"/>
          <w:color w:val="000000" w:themeColor="text1"/>
          <w:sz w:val="32"/>
          <w:szCs w:val="32"/>
          <w:u w:val="single"/>
          <w:lang w:val="en-US"/>
          <w14:textFill>
            <w14:solidFill>
              <w14:schemeClr w14:val="tx1"/>
            </w14:solidFill>
          </w14:textFill>
        </w:rPr>
        <w:t xml:space="preserve"> 只能用于有机地瓜</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种植，</w:t>
      </w:r>
      <w:r>
        <w:rPr>
          <w:rFonts w:hint="eastAsia" w:ascii="仿宋_GB2312" w:hAnsi="仿宋_GB2312" w:eastAsia="仿宋_GB2312" w:cs="仿宋_GB2312"/>
          <w:color w:val="000000" w:themeColor="text1"/>
          <w:sz w:val="32"/>
          <w:szCs w:val="32"/>
          <w:u w:val="single"/>
          <w:lang w:val="en-US"/>
          <w14:textFill>
            <w14:solidFill>
              <w14:schemeClr w14:val="tx1"/>
            </w14:solidFill>
          </w14:textFill>
        </w:rPr>
        <w:t>严禁非农化、非粮化。不得建房、建窑、取土、挖砂、采石、堆放固废，不得改变耕地性质，不得弃耕抛荒</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2FC2CA6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承包形式：</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14:textFill>
            <w14:solidFill>
              <w14:schemeClr w14:val="tx1"/>
            </w14:solidFill>
          </w14:textFill>
        </w:rPr>
        <w:t>土地经营权出租</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57BE94F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第三条租赁期限</w:t>
      </w:r>
    </w:p>
    <w:p w14:paraId="077303C1">
      <w:pPr>
        <w:keepNext/>
        <w:keepLines w:val="0"/>
        <w:pageBreakBefore w:val="0"/>
        <w:widowControl w:val="0"/>
        <w:kinsoku/>
        <w:wordWrap w:val="0"/>
        <w:overflowPunct/>
        <w:topLinePunct w:val="0"/>
        <w:autoSpaceDE/>
        <w:autoSpaceDN/>
        <w:bidi w:val="0"/>
        <w:adjustRightInd/>
        <w:snapToGrid/>
        <w:ind w:left="0" w:leftChars="0"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租赁期限为</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年，自</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年</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月</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日至</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月</w:t>
      </w:r>
      <w:r>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止，租赁期限内土地经营使用权属乙方，所有权属甲方。租赁期满，甲方有权收回该场地，乙方应如期返还。租赁期限届满后，该场地租赁权将按规定公开交易，乙方在同等交易条件下享有优先承租权;乙方若有意参与续租，应按公开交易相关要求办理手续。未达成续约的，本合同期满自动终止。</w:t>
      </w:r>
    </w:p>
    <w:p w14:paraId="7FAC483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第四条租赁费用和支付方式</w:t>
      </w:r>
    </w:p>
    <w:p w14:paraId="15DAA569">
      <w:pPr>
        <w:keepNext w:val="0"/>
        <w:keepLines w:val="0"/>
        <w:pageBreakBefore w:val="0"/>
        <w:widowControl w:val="0"/>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该土地的租赁费用为人民币</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元（大写：</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),按每年</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元/亩，一次性支付</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年租金，乙方于</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日前向甲方支付，支付方式：银行转账，不接受现金（转账凭证作为付款依据，双方各留存）。</w:t>
      </w:r>
    </w:p>
    <w:p w14:paraId="1C98DDFC">
      <w:pPr>
        <w:keepNext w:val="0"/>
        <w:keepLines w:val="0"/>
        <w:pageBreakBefore w:val="0"/>
        <w:widowControl w:val="0"/>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甲方收款账户：</w:t>
      </w:r>
    </w:p>
    <w:p w14:paraId="2192831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户名：</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514D924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开户行：</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11E012C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账（卡）号：</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6703564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第五条甲乙双方的权利和义务</w:t>
      </w:r>
    </w:p>
    <w:p w14:paraId="4B9E8AA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(一)甲方的权利和义务</w:t>
      </w:r>
    </w:p>
    <w:p w14:paraId="166474E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1、甲方对所租土地拥有所有权，并使乙方取得土地承包经营权。</w:t>
      </w:r>
    </w:p>
    <w:p w14:paraId="0A62998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有权按合同约定收取租金；有权监督乙方按约定农业用途使用土地；</w:t>
      </w:r>
    </w:p>
    <w:p w14:paraId="036DC36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3、乙方违法使用土地，甲方有权依法解除合同、收回土地经营权。</w:t>
      </w:r>
    </w:p>
    <w:p w14:paraId="424125F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4、甲方有权制止乙方实施的严重损害土地资源和其他资源的行为。</w:t>
      </w:r>
    </w:p>
    <w:p w14:paraId="3D480B0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5、甲方有权依据合同的约定向乙方收取租赁费用，在合同有效期内，甲方不得提高租赁费用。</w:t>
      </w:r>
    </w:p>
    <w:p w14:paraId="164458A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6、甲方有权在租赁期限届满时提出新的标准，选择确定新的承租方。</w:t>
      </w:r>
    </w:p>
    <w:p w14:paraId="72D958B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7、甲方不得在租用期间内以任何理由干涉乙方合法的经营管理自主权，确保乙方在承包期内不受任何干扰。</w:t>
      </w:r>
    </w:p>
    <w:p w14:paraId="6C97BBB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本合同签订后甲方应当将本土地流转事宜向村集体经济组织备案。</w:t>
      </w:r>
    </w:p>
    <w:p w14:paraId="69AFA64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(二)乙方的权利和义务</w:t>
      </w:r>
    </w:p>
    <w:p w14:paraId="362BEEE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1、乙方有权依法按照合同约定的用途和期限，合法利用和经营所承包的土地。</w:t>
      </w:r>
    </w:p>
    <w:p w14:paraId="0F78CFB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2、乙方对其所承包的土地有独立自主经营权和收益权，任何单位和个人不得干涉，所发生的一切债权债务由乙方独自享有和承担，与甲方无关。</w:t>
      </w:r>
    </w:p>
    <w:p w14:paraId="4C35420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确需建设农业生产附属设施的，必须依法向镇政府、农业农村部门申请审批，未经审批不得建设任何建构筑物。</w:t>
      </w:r>
    </w:p>
    <w:p w14:paraId="6FD8397E">
      <w:pPr>
        <w:keepNext w:val="0"/>
        <w:keepLines w:val="0"/>
        <w:pageBreakBefore w:val="0"/>
        <w:widowControl w:val="0"/>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乙方可在不改变土地农业用途、不破坏耕地耕作层前提下，进行农业生产必要改良及配套建设。乙方全额出资建设的电网、水利等农业设施，租赁到期后乙方享有处置权；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租赁期限届满后，该场地租赁权将按规定公开交易，乙方在同等交易条件下享有优先承租权</w:t>
      </w:r>
    </w:p>
    <w:p w14:paraId="68E606E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乙方应按本合同约定按期足额向甲方支付租赁费用。乙方有权拒绝甲方及其他主体提出的合同约定之外的摊派收费；但乙方生产经营所产生的水电费、灌溉费、法定税费等，由乙方自行承担。</w:t>
      </w:r>
    </w:p>
    <w:p w14:paraId="4AE8D0A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7、乙方的生产经营活动不得污染乙方所在村的水源，不得产生影响村民生活的其他污染。</w:t>
      </w:r>
    </w:p>
    <w:p w14:paraId="7CB221A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8、乙方应保护自然资源，合理利用土地。</w:t>
      </w:r>
    </w:p>
    <w:p w14:paraId="6C5FF3CF">
      <w:pPr>
        <w:pStyle w:val="2"/>
        <w:keepNext w:val="0"/>
        <w:keepLines w:val="0"/>
        <w:widowControl/>
        <w:suppressLineNumbers w:val="0"/>
        <w:rPr>
          <w:color w:val="000000" w:themeColor="text1"/>
          <w14:textFill>
            <w14:solidFill>
              <w14:schemeClr w14:val="tx1"/>
            </w14:solidFill>
          </w14:textFill>
        </w:rPr>
      </w:pPr>
      <w:r>
        <w:rPr>
          <w:rFonts w:hint="eastAsia" w:ascii="黑体" w:hAnsi="黑体" w:eastAsia="黑体" w:cs="黑体"/>
          <w:b w:val="0"/>
          <w:bCs w:val="0"/>
          <w:color w:val="000000" w:themeColor="text1"/>
          <w:kern w:val="2"/>
          <w:sz w:val="32"/>
          <w:szCs w:val="32"/>
          <w:u w:val="none"/>
          <w:lang w:val="en-US" w:eastAsia="zh-CN" w:bidi="ar-SA"/>
          <w14:textFill>
            <w14:solidFill>
              <w14:schemeClr w14:val="tx1"/>
            </w14:solidFill>
          </w14:textFill>
        </w:rPr>
        <w:t>第六条 征收、征用补偿约定</w:t>
      </w:r>
    </w:p>
    <w:p w14:paraId="54EEE8AB">
      <w:pPr>
        <w:pStyle w:val="5"/>
        <w:keepNext w:val="0"/>
        <w:keepLines w:val="0"/>
        <w:widowControl/>
        <w:suppressLineNumbers w:val="0"/>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租赁期内，土地遇到国家、政府征收、征用的，双方服从政府安排：</w:t>
      </w:r>
    </w:p>
    <w:p w14:paraId="77D6DA74">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土地补偿费、安置补助费归</w:t>
      </w:r>
      <w:r>
        <w:rPr>
          <w:rFonts w:hint="eastAsia" w:ascii="仿宋_GB2312" w:hAnsi="仿宋_GB2312" w:eastAsia="仿宋_GB2312" w:cs="仿宋_GB2312"/>
          <w:color w:val="000000" w:themeColor="text1"/>
          <w:kern w:val="2"/>
          <w:sz w:val="32"/>
          <w:szCs w:val="32"/>
          <w:u w:val="single"/>
          <w:lang w:val="en-US" w:eastAsia="zh-CN" w:bidi="ar-SA"/>
          <w14:textFill>
            <w14:solidFill>
              <w14:schemeClr w14:val="tx1"/>
            </w14:solidFill>
          </w14:textFill>
        </w:rPr>
        <w:t>甲方（土地承包权人）</w:t>
      </w: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所有；</w:t>
      </w:r>
    </w:p>
    <w:p w14:paraId="08A2E7C1">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青苗补偿费归实际种植投入方</w:t>
      </w:r>
      <w:r>
        <w:rPr>
          <w:rFonts w:hint="eastAsia" w:ascii="仿宋_GB2312" w:hAnsi="仿宋_GB2312" w:eastAsia="仿宋_GB2312" w:cs="仿宋_GB2312"/>
          <w:color w:val="000000" w:themeColor="text1"/>
          <w:kern w:val="2"/>
          <w:sz w:val="32"/>
          <w:szCs w:val="32"/>
          <w:u w:val="single"/>
          <w:lang w:val="en-US" w:eastAsia="zh-CN" w:bidi="ar-SA"/>
          <w14:textFill>
            <w14:solidFill>
              <w14:schemeClr w14:val="tx1"/>
            </w14:solidFill>
          </w14:textFill>
        </w:rPr>
        <w:t xml:space="preserve"> 乙方 </w:t>
      </w: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所有；</w:t>
      </w:r>
    </w:p>
    <w:p w14:paraId="458D271D">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乙方投资建设的合法地上农业附属设施，对应的设施补偿归乙方所有；</w:t>
      </w:r>
    </w:p>
    <w:p w14:paraId="31DF63D1">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u w:val="none"/>
          <w:lang w:val="en-US" w:eastAsia="zh-CN" w:bidi="ar-SA"/>
          <w14:textFill>
            <w14:solidFill>
              <w14:schemeClr w14:val="tx1"/>
            </w14:solidFill>
          </w14:textFill>
        </w:rPr>
        <w:t>因征收造成合同无法继续履行，合同自动终止；甲方退还合同终止日后已经预收但未发生的租金；乙方经营预期损失甲方不承担赔偿。</w:t>
      </w:r>
    </w:p>
    <w:p w14:paraId="536E0C46">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第七条合同的变更和解除</w:t>
      </w:r>
      <w:r>
        <w:rPr>
          <w:rFonts w:hint="default" w:ascii="黑体" w:hAnsi="黑体" w:eastAsia="黑体" w:cs="黑体"/>
          <w:color w:val="000000" w:themeColor="text1"/>
          <w:sz w:val="32"/>
          <w:szCs w:val="32"/>
          <w:u w:val="none"/>
          <w:lang w:eastAsia="zh-CN"/>
          <w14:textFill>
            <w14:solidFill>
              <w14:schemeClr w14:val="tx1"/>
            </w14:solidFill>
          </w14:textFill>
        </w:rPr>
        <w:t>、</w:t>
      </w:r>
      <w:r>
        <w:rPr>
          <w:rFonts w:hint="eastAsia" w:ascii="黑体" w:hAnsi="黑体" w:eastAsia="黑体" w:cs="黑体"/>
          <w:color w:val="000000" w:themeColor="text1"/>
          <w:sz w:val="32"/>
          <w:szCs w:val="32"/>
          <w:u w:val="none"/>
          <w:lang w:val="en-US"/>
          <w14:textFill>
            <w14:solidFill>
              <w14:schemeClr w14:val="tx1"/>
            </w14:solidFill>
          </w14:textFill>
        </w:rPr>
        <w:t>违约责任</w:t>
      </w:r>
    </w:p>
    <w:p w14:paraId="4C380E75">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本合同一经签订具有法律约束力，未经双方书面协商一致，任何一方不得单方面变更、解除</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4278288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2、因不可抗拒的因素，造成甲乙双方无法履行合同，或是合同确有必要变更或解除的，可以经双方协商后，按照法律程序变更或解除合同，由此造成的经济损失</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按法律规定分担</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或双方协议分担。</w:t>
      </w:r>
    </w:p>
    <w:p w14:paraId="07D741A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3、如甲方重复发包该土地或擅自断电、断水、断路，即使乙方无法经营时，乙方有权解除本合同，其违约责任由</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甲</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方承担。</w:t>
      </w:r>
    </w:p>
    <w:p w14:paraId="445DCD2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乙方逾期支付租金，每逾期一日，按当期应付租金的</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万分之三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向甲方计付违约金；逾期超过</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30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日，甲方有权单方解除合同，收回土地，乙方仍要付清全部欠付租金及违约金。</w:t>
      </w:r>
    </w:p>
    <w:p w14:paraId="25B7BFA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5、在合同履行期内，任何一方违反本合同以上之约定，即视为违约。</w:t>
      </w:r>
    </w:p>
    <w:p w14:paraId="6F59469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6、甲方违反本合同条款，乙方有权要甲方退还租金并向甲方追究因甲方责任导致的全部经济损失。且因追偿产生的包括且不限于律师费、诉讼费、旅差费、保全费等由甲方承担。</w:t>
      </w:r>
    </w:p>
    <w:p w14:paraId="19981C3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7</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、乙方违反本合同条款，甲方有权处于</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违约行为发生的年度</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双倍租金</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作为</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违约金并向乙方追究因乙方责任导致的全部经济损失，且因追偿产生的包括且不限于律师费诉讼费、旅差费等由</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乙</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方承担，并收回土地使用权（乙方承担连带责任）。</w:t>
      </w:r>
    </w:p>
    <w:p w14:paraId="34F030C1">
      <w:pPr>
        <w:pStyle w:val="2"/>
        <w:keepNext w:val="0"/>
        <w:keepLines w:val="0"/>
        <w:widowControl/>
        <w:suppressLineNumbers w:val="0"/>
        <w:ind w:firstLine="640" w:firstLineChars="200"/>
        <w:rPr>
          <w:color w:val="000000" w:themeColor="text1"/>
          <w14:textFill>
            <w14:solidFill>
              <w14:schemeClr w14:val="tx1"/>
            </w14:solidFill>
          </w14:textFill>
        </w:rPr>
      </w:pPr>
      <w:r>
        <w:rPr>
          <w:rFonts w:hint="eastAsia" w:ascii="黑体" w:hAnsi="黑体" w:eastAsia="黑体" w:cs="黑体"/>
          <w:b w:val="0"/>
          <w:bCs w:val="0"/>
          <w:color w:val="000000" w:themeColor="text1"/>
          <w:kern w:val="2"/>
          <w:sz w:val="32"/>
          <w:szCs w:val="32"/>
          <w:u w:val="none"/>
          <w:lang w:val="en-US" w:eastAsia="zh-CN" w:bidi="ar-SA"/>
          <w14:textFill>
            <w14:solidFill>
              <w14:schemeClr w14:val="tx1"/>
            </w14:solidFill>
          </w14:textFill>
        </w:rPr>
        <w:t>第八条 合同到期后地上物处置</w:t>
      </w:r>
    </w:p>
    <w:p w14:paraId="6E1F52A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合同到期终止且不再续租： </w:t>
      </w:r>
    </w:p>
    <w:p w14:paraId="10487938">
      <w:pPr>
        <w:keepNext w:val="0"/>
        <w:keepLines w:val="0"/>
        <w:pageBreakBefore w:val="0"/>
        <w:widowControl w:val="0"/>
        <w:numPr>
          <w:ilvl w:val="0"/>
          <w:numId w:val="3"/>
        </w:numPr>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乙方当年短期农作物青苗，乙方应当在到期之日起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30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日内收割清理完毕；逾期未清理，视为乙方放弃，归甲方处置。</w:t>
      </w:r>
    </w:p>
    <w:p w14:paraId="55223F4C">
      <w:pPr>
        <w:keepNext w:val="0"/>
        <w:keepLines w:val="0"/>
        <w:pageBreakBefore w:val="0"/>
        <w:widowControl w:val="0"/>
        <w:numPr>
          <w:ilvl w:val="0"/>
          <w:numId w:val="3"/>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乙方建设的水利、电网等可拆除生产设施，由乙方限期自行拆除搬走，拆除时不得破坏土地耕作层；可由乙方与新承租方自行协商，如新承租方有购买需求的，乙方可将该农业生产附属、配套设施转让给新承租方;如新承租方不</w:t>
      </w:r>
    </w:p>
    <w:p w14:paraId="103BC93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予接收的，由乙方自行处置，甲方不承担任何补偿及购买义务。</w:t>
      </w:r>
    </w:p>
    <w:p w14:paraId="6E92FA2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p>
    <w:p w14:paraId="349CA6E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第九条合同纠纷的解决办法</w:t>
      </w:r>
    </w:p>
    <w:p w14:paraId="6DA31A7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在合同履行过程中，如发生争议，由争议双方协商解决。协商不成的，可以向上级主管部门申请解决或直接向</w:t>
      </w:r>
      <w:r>
        <w:rPr>
          <w:rFonts w:hint="eastAsia" w:ascii="仿宋_GB2312" w:hAnsi="仿宋_GB2312" w:eastAsia="仿宋_GB2312" w:cs="仿宋_GB2312"/>
          <w:color w:val="000000" w:themeColor="text1"/>
          <w:sz w:val="32"/>
          <w:szCs w:val="32"/>
          <w:u w:val="none"/>
          <w:lang w:val="en-US"/>
          <w14:textFill>
            <w14:solidFill>
              <w14:schemeClr w14:val="tx1"/>
            </w14:solidFill>
          </w14:textFill>
        </w:rPr>
        <w:t>昌江</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人民法院起诉。</w:t>
      </w:r>
    </w:p>
    <w:p w14:paraId="5AA8FA27">
      <w:pPr>
        <w:keepNext w:val="0"/>
        <w:keepLines w:val="0"/>
        <w:pageBreakBefore w:val="0"/>
        <w:widowControl w:val="0"/>
        <w:numPr>
          <w:ilvl w:val="0"/>
          <w:numId w:val="4"/>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000000" w:themeColor="text1"/>
          <w:sz w:val="32"/>
          <w:szCs w:val="32"/>
          <w:u w:val="none"/>
          <w:lang w:val="en-US" w:eastAsia="zh-CN"/>
          <w14:textFill>
            <w14:solidFill>
              <w14:schemeClr w14:val="tx1"/>
            </w14:solidFill>
          </w14:textFill>
        </w:rPr>
      </w:pPr>
      <w:r>
        <w:rPr>
          <w:rFonts w:hint="eastAsia" w:ascii="黑体" w:hAnsi="黑体" w:eastAsia="黑体" w:cs="黑体"/>
          <w:color w:val="000000" w:themeColor="text1"/>
          <w:sz w:val="32"/>
          <w:szCs w:val="32"/>
          <w:u w:val="none"/>
          <w:lang w:val="en-US" w:eastAsia="zh-CN"/>
          <w14:textFill>
            <w14:solidFill>
              <w14:schemeClr w14:val="tx1"/>
            </w14:solidFill>
          </w14:textFill>
        </w:rPr>
        <w:t xml:space="preserve"> 附则</w:t>
      </w:r>
    </w:p>
    <w:p w14:paraId="1C0B9D5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(一)本合同未尽事宜，经甲方、乙方协商一致后可签订补充协议。</w:t>
      </w:r>
    </w:p>
    <w:p w14:paraId="40D96D4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补充协议与本合同具有同等法律效力。</w:t>
      </w:r>
    </w:p>
    <w:p w14:paraId="288721A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补充条款(可另附件):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37992A0B">
      <w:pPr>
        <w:keepNext w:val="0"/>
        <w:keepLines w:val="0"/>
        <w:pageBreakBefore w:val="0"/>
        <w:widowControl w:val="0"/>
        <w:numPr>
          <w:ilvl w:val="0"/>
          <w:numId w:val="5"/>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本合同自甲乙双方签字、盖章或者按指印之日起生效。本合同一式</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伍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份，由甲方、乙方、红阳村委会、农交中心、乡(镇)人民政府农村土地承包管理部门，各执一份。</w:t>
      </w:r>
    </w:p>
    <w:p w14:paraId="668160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0133F0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（以下无正文）</w:t>
      </w:r>
    </w:p>
    <w:p w14:paraId="201FCC86">
      <w:pPr>
        <w:spacing w:line="317" w:lineRule="auto"/>
        <w:rPr>
          <w:rFonts w:ascii="Arial"/>
          <w:color w:val="000000" w:themeColor="text1"/>
          <w:sz w:val="21"/>
          <w14:textFill>
            <w14:solidFill>
              <w14:schemeClr w14:val="tx1"/>
            </w14:solidFill>
          </w14:textFill>
        </w:rPr>
      </w:pPr>
      <w:bookmarkStart w:id="0" w:name="_GoBack"/>
      <w:bookmarkEnd w:id="0"/>
    </w:p>
    <w:p w14:paraId="33C0D27C">
      <w:pPr>
        <w:spacing w:line="317" w:lineRule="auto"/>
        <w:rPr>
          <w:rFonts w:ascii="Arial"/>
          <w:color w:val="000000" w:themeColor="text1"/>
          <w:sz w:val="21"/>
          <w14:textFill>
            <w14:solidFill>
              <w14:schemeClr w14:val="tx1"/>
            </w14:solidFill>
          </w14:textFill>
        </w:rPr>
      </w:pPr>
    </w:p>
    <w:p w14:paraId="4B447DAC">
      <w:pPr>
        <w:spacing w:line="317" w:lineRule="auto"/>
        <w:rPr>
          <w:rFonts w:ascii="Arial"/>
          <w:color w:val="000000" w:themeColor="text1"/>
          <w:sz w:val="21"/>
          <w14:textFill>
            <w14:solidFill>
              <w14:schemeClr w14:val="tx1"/>
            </w14:solidFill>
          </w14:textFill>
        </w:rPr>
      </w:pPr>
    </w:p>
    <w:p w14:paraId="3304C9A3">
      <w:pPr>
        <w:spacing w:line="317" w:lineRule="auto"/>
        <w:rPr>
          <w:rFonts w:ascii="Arial"/>
          <w:color w:val="000000" w:themeColor="text1"/>
          <w:sz w:val="21"/>
          <w14:textFill>
            <w14:solidFill>
              <w14:schemeClr w14:val="tx1"/>
            </w14:solidFill>
          </w14:textFill>
        </w:rPr>
      </w:pPr>
    </w:p>
    <w:p w14:paraId="0EFCFE22">
      <w:pPr>
        <w:spacing w:line="317" w:lineRule="auto"/>
        <w:rPr>
          <w:rFonts w:ascii="Arial"/>
          <w:color w:val="000000" w:themeColor="text1"/>
          <w:sz w:val="21"/>
          <w14:textFill>
            <w14:solidFill>
              <w14:schemeClr w14:val="tx1"/>
            </w14:solidFill>
          </w14:textFill>
        </w:rPr>
      </w:pPr>
    </w:p>
    <w:p w14:paraId="4C08FE00">
      <w:pPr>
        <w:spacing w:line="317" w:lineRule="auto"/>
        <w:rPr>
          <w:rFonts w:ascii="Arial"/>
          <w:color w:val="000000" w:themeColor="text1"/>
          <w:sz w:val="21"/>
          <w14:textFill>
            <w14:solidFill>
              <w14:schemeClr w14:val="tx1"/>
            </w14:solidFill>
          </w14:textFill>
        </w:rPr>
      </w:pPr>
    </w:p>
    <w:p w14:paraId="099700F1">
      <w:pPr>
        <w:spacing w:line="317" w:lineRule="auto"/>
        <w:rPr>
          <w:rFonts w:ascii="Arial"/>
          <w:color w:val="000000" w:themeColor="text1"/>
          <w:sz w:val="21"/>
          <w14:textFill>
            <w14:solidFill>
              <w14:schemeClr w14:val="tx1"/>
            </w14:solidFill>
          </w14:textFill>
        </w:rPr>
      </w:pPr>
    </w:p>
    <w:p w14:paraId="4403825C">
      <w:pPr>
        <w:spacing w:line="317" w:lineRule="auto"/>
        <w:rPr>
          <w:rFonts w:ascii="Arial"/>
          <w:color w:val="000000" w:themeColor="text1"/>
          <w:sz w:val="21"/>
          <w14:textFill>
            <w14:solidFill>
              <w14:schemeClr w14:val="tx1"/>
            </w14:solidFill>
          </w14:textFill>
        </w:rPr>
      </w:pPr>
    </w:p>
    <w:p w14:paraId="468069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436699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04F7CA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甲方（盖章）：</w:t>
      </w:r>
    </w:p>
    <w:p w14:paraId="2ED76A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法定代表人（负责人/农户代表人）签字：</w:t>
      </w:r>
    </w:p>
    <w:p w14:paraId="541332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签订日期：____年____月____日</w:t>
      </w:r>
    </w:p>
    <w:p w14:paraId="09C5CA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6F754E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4E9BC8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05559C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179006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5FB3D2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p>
    <w:p w14:paraId="5EDA9B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乙方（盖章 / 签字按手印）：</w:t>
      </w:r>
    </w:p>
    <w:p w14:paraId="43C49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kern w:val="0"/>
          <w:sz w:val="28"/>
          <w:szCs w:val="28"/>
          <w:lang w:val="en-US" w:eastAsia="zh-CN" w:bidi="ar"/>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法定代表人（负责人/农户代表人）签字：</w:t>
      </w:r>
    </w:p>
    <w:p w14:paraId="56726D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lang w:val="en-US" w:eastAsia="zh-CN" w:bidi="ar"/>
          <w14:textFill>
            <w14:solidFill>
              <w14:schemeClr w14:val="tx1"/>
            </w14:solidFill>
          </w14:textFill>
        </w:rPr>
        <w:t>签订日期：____年____月____日</w:t>
      </w:r>
    </w:p>
    <w:p w14:paraId="590295CC">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001010101"/>
    <w:charset w:val="86"/>
    <w:family w:val="auto"/>
    <w:pitch w:val="default"/>
    <w:sig w:usb0="00000000" w:usb1="00000000" w:usb2="00000000" w:usb3="00000000" w:csb0="00040000" w:csb1="00000000"/>
  </w:font>
  <w:font w:name="仿宋_GB2312">
    <w:altName w:val="仿宋"/>
    <w:panose1 w:val="020106090300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42F44">
    <w:pPr>
      <w:pStyle w:val="3"/>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40686D7">
                          <w:pPr>
                            <w:pStyle w:val="3"/>
                          </w:pPr>
                          <w:r>
                            <w:fldChar w:fldCharType="begin"/>
                          </w:r>
                          <w:r>
                            <w:instrText xml:space="preserve"> PAGE  \* MERGEFORMAT </w:instrText>
                          </w:r>
                          <w:r>
                            <w:fldChar w:fldCharType="separate"/>
                          </w:r>
                          <w:r>
                            <w:t>2</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540686D7">
                    <w:pPr>
                      <w:pStyle w:val="3"/>
                    </w:pPr>
                    <w:r>
                      <w:fldChar w:fldCharType="begin"/>
                    </w:r>
                    <w:r>
                      <w:instrText xml:space="preserve"> PAGE  \* MERGEFORMAT </w:instrText>
                    </w:r>
                    <w:r>
                      <w:fldChar w:fldCharType="separate"/>
                    </w:r>
                    <w:r>
                      <w:t>2</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E0D47"/>
    <w:multiLevelType w:val="singleLevel"/>
    <w:tmpl w:val="BEDE0D47"/>
    <w:lvl w:ilvl="0" w:tentative="0">
      <w:start w:val="10"/>
      <w:numFmt w:val="chineseCounting"/>
      <w:suff w:val="space"/>
      <w:lvlText w:val="第%1条"/>
      <w:lvlJc w:val="left"/>
      <w:rPr>
        <w:rFonts w:hint="eastAsia"/>
      </w:rPr>
    </w:lvl>
  </w:abstractNum>
  <w:abstractNum w:abstractNumId="1">
    <w:nsid w:val="E2F96B92"/>
    <w:multiLevelType w:val="multilevel"/>
    <w:tmpl w:val="E2F96B9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11A21D52"/>
    <w:multiLevelType w:val="singleLevel"/>
    <w:tmpl w:val="11A21D52"/>
    <w:lvl w:ilvl="0" w:tentative="0">
      <w:start w:val="1"/>
      <w:numFmt w:val="decimal"/>
      <w:suff w:val="nothing"/>
      <w:lvlText w:val="%1、"/>
      <w:lvlJc w:val="left"/>
    </w:lvl>
  </w:abstractNum>
  <w:abstractNum w:abstractNumId="3">
    <w:nsid w:val="23E545FE"/>
    <w:multiLevelType w:val="singleLevel"/>
    <w:tmpl w:val="23E545FE"/>
    <w:lvl w:ilvl="0" w:tentative="0">
      <w:start w:val="2"/>
      <w:numFmt w:val="chineseCounting"/>
      <w:lvlText w:val="(%1)"/>
      <w:lvlJc w:val="left"/>
      <w:pPr>
        <w:tabs>
          <w:tab w:val="left" w:pos="312"/>
        </w:tabs>
      </w:pPr>
      <w:rPr>
        <w:rFonts w:hint="eastAsia"/>
      </w:rPr>
    </w:lvl>
  </w:abstractNum>
  <w:abstractNum w:abstractNumId="4">
    <w:nsid w:val="40B744AC"/>
    <w:multiLevelType w:val="singleLevel"/>
    <w:tmpl w:val="40B744AC"/>
    <w:lvl w:ilvl="0" w:tentative="0">
      <w:start w:val="1"/>
      <w:numFmt w:val="decimalEnclosedCircleChinese"/>
      <w:suff w:val="space"/>
      <w:lvlText w:val="%1"/>
      <w:lvlJc w:val="left"/>
      <w:rPr>
        <w:rFonts w:hint="eastAsia"/>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NjJkNTBiM2U4NzU0MDgzNzhhNDdkYzYwOWQ0MTQifQ=="/>
  </w:docVars>
  <w:rsids>
    <w:rsidRoot w:val="00000000"/>
    <w:rsid w:val="025D6781"/>
    <w:rsid w:val="1C962E43"/>
    <w:rsid w:val="22512B14"/>
    <w:rsid w:val="2C0C5830"/>
    <w:rsid w:val="470C3A6D"/>
    <w:rsid w:val="4C034DF1"/>
    <w:rsid w:val="4D5B6484"/>
    <w:rsid w:val="61602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2502</Words>
  <Characters>2524</Characters>
  <Paragraphs>94</Paragraphs>
  <TotalTime>1</TotalTime>
  <ScaleCrop>false</ScaleCrop>
  <LinksUpToDate>false</LinksUpToDate>
  <CharactersWithSpaces>3256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2022-04-11T09:54:00Z</dcterms:created>
  <dc:creator>hongzhi</dc:creator>
  <cp:lastModifiedBy>%F0%9F%99%84</cp:lastModifiedBy>
  <cp:lastPrinted>2022-06-17T07:59:00Z</cp:lastPrinted>
  <dcterms:modified xsi:type="dcterms:W3CDTF">2026-10-08T02:05:58Z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38337E7A58A04D02A72480C214D936E5</vt:lpwstr>
  </property>
  <property fmtid="{D5CDD505-2E9C-101B-9397-08002B2CF9AE}" pid="4" name="KSOTemplateDocerSaveRecord">
    <vt:lpwstr>eyJoZGlkIjoiZDQ4NWY5YTg0YjljNjBjZTY4OTJlNDg5MDk4YTRmMGEiLCJ1c2VySWQiOiIyOTMyNTI4MzIifQ==</vt:lpwstr>
  </property>
</Properties>
</file>