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0910"/>
      <w:bookmarkStart w:id="2" w:name="_Toc11918"/>
      <w:bookmarkStart w:id="3" w:name="_Toc32320"/>
      <w:bookmarkStart w:id="4" w:name="_Toc15737"/>
      <w:bookmarkStart w:id="5" w:name="_Toc21422"/>
      <w:bookmarkStart w:id="6" w:name="_Toc24454"/>
      <w:bookmarkStart w:id="7" w:name="_Toc21762"/>
      <w:bookmarkStart w:id="8" w:name="_Toc12789"/>
      <w:bookmarkStart w:id="9" w:name="_Toc24068"/>
      <w:bookmarkStart w:id="10" w:name="_Toc24727"/>
      <w:bookmarkStart w:id="11" w:name="_Toc13462"/>
      <w:bookmarkStart w:id="12" w:name="_Toc29002"/>
      <w:bookmarkStart w:id="13" w:name="_Toc20033"/>
      <w:bookmarkStart w:id="14" w:name="_Toc8396"/>
      <w:bookmarkStart w:id="15" w:name="_Toc25712"/>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w:t>
      </w:r>
      <w:r>
        <w:rPr>
          <w:rFonts w:hint="eastAsia" w:asciiTheme="minorEastAsia" w:hAnsiTheme="minorEastAsia" w:cstheme="minorEastAsia"/>
          <w:b/>
          <w:bCs/>
          <w:color w:val="000000"/>
          <w:sz w:val="32"/>
          <w:szCs w:val="32"/>
          <w:lang w:val="en-US" w:eastAsia="zh-CN"/>
        </w:rPr>
        <w:t>4</w:t>
      </w:r>
      <w:r>
        <w:rPr>
          <w:rFonts w:hint="eastAsia" w:asciiTheme="minorEastAsia" w:hAnsiTheme="minorEastAsia" w:eastAsiaTheme="minorEastAsia" w:cstheme="minorEastAsia"/>
          <w:b/>
          <w:bCs/>
          <w:color w:val="000000"/>
          <w:sz w:val="32"/>
          <w:szCs w:val="32"/>
        </w:rPr>
        <w:t>）打款证明。[信息技术服务费、交易保证金(如需缴纳情况)]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1"/>
        </w:num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u w:val="single"/>
          <w:lang w:val="en-US" w:eastAsia="zh-CN"/>
        </w:rPr>
        <w:t xml:space="preserve"> </w:t>
      </w:r>
      <w:bookmarkStart w:id="26" w:name="_GoBack"/>
      <w:r>
        <w:rPr>
          <w:rFonts w:hint="eastAsia" w:ascii="方正仿宋_GB2312" w:hAnsi="方正仿宋_GB2312" w:eastAsia="方正仿宋_GB2312" w:cs="方正仿宋_GB2312"/>
          <w:sz w:val="28"/>
          <w:szCs w:val="28"/>
          <w:u w:val="single"/>
          <w:lang w:val="en-US" w:eastAsia="zh-CN"/>
        </w:rPr>
        <w:t>道楠下村零星场地及道路硬化项目</w:t>
      </w:r>
      <w:bookmarkEnd w:id="26"/>
      <w:r>
        <w:rPr>
          <w:rFonts w:hint="eastAsia" w:ascii="方正仿宋_GB2312" w:hAnsi="方正仿宋_GB2312" w:eastAsia="方正仿宋_GB2312" w:cs="方正仿宋_GB2312"/>
          <w:sz w:val="28"/>
          <w:szCs w:val="28"/>
          <w:u w:val="single"/>
          <w:lang w:val="en-US" w:eastAsia="zh-CN"/>
        </w:rPr>
        <w:t xml:space="preserve"> </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方提供，</w:t>
      </w:r>
      <w:r>
        <w:rPr>
          <w:rFonts w:hint="eastAsia" w:ascii="方正仿宋_GB2312" w:hAnsi="方正仿宋_GB2312" w:eastAsia="方正仿宋_GB2312" w:cs="方正仿宋_GB2312"/>
          <w:sz w:val="28"/>
          <w:szCs w:val="28"/>
          <w:lang w:val="en-US" w:eastAsia="zh-CN"/>
        </w:rPr>
        <w:t>意向报价</w:t>
      </w:r>
      <w:r>
        <w:rPr>
          <w:rFonts w:hint="eastAsia" w:ascii="方正仿宋_GB2312" w:hAnsi="方正仿宋_GB2312" w:eastAsia="方正仿宋_GB2312" w:cs="方正仿宋_GB2312"/>
          <w:sz w:val="28"/>
          <w:szCs w:val="28"/>
        </w:rPr>
        <w:t>方在提交</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报名之前，应对项目有关情况及瑕疵已做了全面的了解，</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方可通过平台图片、文字描述、附件材料或按照交易公告指定的时间进行现场踏勘了解标的，对</w:t>
      </w:r>
      <w:r>
        <w:rPr>
          <w:rFonts w:hint="eastAsia" w:ascii="方正仿宋_GB2312" w:hAnsi="方正仿宋_GB2312" w:eastAsia="方正仿宋_GB2312" w:cs="方正仿宋_GB2312"/>
          <w:sz w:val="28"/>
          <w:szCs w:val="28"/>
          <w:lang w:val="en-US" w:eastAsia="zh-CN"/>
        </w:rPr>
        <w:t>项目需求</w:t>
      </w:r>
      <w:r>
        <w:rPr>
          <w:rFonts w:hint="eastAsia" w:ascii="方正仿宋_GB2312" w:hAnsi="方正仿宋_GB2312" w:eastAsia="方正仿宋_GB2312" w:cs="方正仿宋_GB2312"/>
          <w:sz w:val="28"/>
          <w:szCs w:val="28"/>
        </w:rPr>
        <w:t>有异议的，应在提交</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报名前提出书面意见。对竞价成功后的《</w:t>
      </w:r>
      <w:r>
        <w:rPr>
          <w:rFonts w:hint="eastAsia" w:ascii="方正仿宋_GB2312" w:hAnsi="方正仿宋_GB2312" w:eastAsia="方正仿宋_GB2312" w:cs="方正仿宋_GB2312"/>
          <w:sz w:val="28"/>
          <w:szCs w:val="28"/>
          <w:lang w:val="en-US" w:eastAsia="zh-CN"/>
        </w:rPr>
        <w:t>项目竞得书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方一旦提交报名，即视为其已完全了解</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相关情况、</w:t>
      </w:r>
      <w:r>
        <w:rPr>
          <w:rFonts w:hint="eastAsia" w:ascii="方正仿宋_GB2312" w:hAnsi="方正仿宋_GB2312" w:eastAsia="方正仿宋_GB2312" w:cs="方正仿宋_GB2312"/>
          <w:sz w:val="28"/>
          <w:szCs w:val="28"/>
          <w:lang w:val="en-US" w:eastAsia="zh-CN"/>
        </w:rPr>
        <w:t>项目需求，并</w:t>
      </w:r>
      <w:r>
        <w:rPr>
          <w:rFonts w:hint="eastAsia" w:ascii="方正仿宋_GB2312" w:hAnsi="方正仿宋_GB2312" w:eastAsia="方正仿宋_GB2312" w:cs="方正仿宋_GB2312"/>
          <w:sz w:val="28"/>
          <w:szCs w:val="28"/>
        </w:rPr>
        <w:t>认可交易公告及附件的全部内容、对现状无异议、同意遵守平台有关交易规则和交易须知。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二、意向</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21 </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署并向平台提交本次网络竞价《网络竞价须知》《网络竞价承诺函》等竞价文件，并交纳信息技术服务费（文书费）300元及交易保证金后，由平台审核，意向方必须用本人的银行账户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注册平台账号和提交实名认证材料时，必须按照平台要求提供及时、详尽、准确、真实的单位或个人注册资料，注册后如信息资料有任何变动，必须及时向平台提出更新申请，否则由此引起的经济及法律责任均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方对其平台账号安全负责。任何使用</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方用户名和密码登录的用户，在系统的一切行为均视为该</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方本人的行为，由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方承担一切后果，平台不承担任何责任。通过公共环境参与网络竞价活动的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方办理竞拍登记手续和交易保证金交纳，经资格确认后，</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1.本次网络竞价项目</w:t>
      </w:r>
      <w:r>
        <w:rPr>
          <w:rFonts w:hint="eastAsia" w:ascii="方正仿宋_GB2312" w:hAnsi="方正仿宋_GB2312" w:eastAsia="方正仿宋_GB2312" w:cs="方正仿宋_GB2312"/>
          <w:b w:val="0"/>
          <w:bCs w:val="0"/>
          <w:sz w:val="28"/>
          <w:szCs w:val="28"/>
          <w:lang w:val="en-US" w:eastAsia="zh-CN"/>
        </w:rPr>
        <w:t>上限</w:t>
      </w:r>
      <w:r>
        <w:rPr>
          <w:rFonts w:hint="eastAsia" w:ascii="方正仿宋_GB2312" w:hAnsi="方正仿宋_GB2312" w:eastAsia="方正仿宋_GB2312" w:cs="方正仿宋_GB2312"/>
          <w:b w:val="0"/>
          <w:bCs w:val="0"/>
          <w:sz w:val="28"/>
          <w:szCs w:val="28"/>
          <w:lang w:eastAsia="zh-CN"/>
        </w:rPr>
        <w:t>价为人民币：</w:t>
      </w:r>
      <w:r>
        <w:rPr>
          <w:rFonts w:hint="eastAsia" w:ascii="方正仿宋_GB2312" w:hAnsi="方正仿宋_GB2312" w:eastAsia="方正仿宋_GB2312" w:cs="方正仿宋_GB2312"/>
          <w:b w:val="0"/>
          <w:bCs w:val="0"/>
          <w:color w:val="auto"/>
          <w:sz w:val="28"/>
          <w:szCs w:val="28"/>
          <w:highlight w:val="none"/>
          <w:u w:val="single"/>
          <w:lang w:val="en-US" w:eastAsia="zh-CN"/>
        </w:rPr>
        <w:t>30000</w:t>
      </w:r>
      <w:r>
        <w:rPr>
          <w:rFonts w:hint="eastAsia" w:ascii="方正仿宋_GB2312" w:hAnsi="方正仿宋_GB2312" w:eastAsia="方正仿宋_GB2312" w:cs="方正仿宋_GB2312"/>
          <w:b w:val="0"/>
          <w:bCs w:val="0"/>
          <w:sz w:val="28"/>
          <w:szCs w:val="28"/>
          <w:lang w:val="en-US" w:eastAsia="zh-CN"/>
        </w:rPr>
        <w:t>元（总价）。</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lang w:val="en-US" w:eastAsia="zh-CN"/>
        </w:rPr>
        <w:t>反向竞价</w:t>
      </w:r>
      <w:r>
        <w:rPr>
          <w:rFonts w:hint="eastAsia" w:ascii="方正仿宋_GB2312" w:hAnsi="方正仿宋_GB2312" w:eastAsia="方正仿宋_GB2312" w:cs="方正仿宋_GB2312"/>
          <w:b w:val="0"/>
          <w:bCs w:val="0"/>
          <w:sz w:val="28"/>
          <w:szCs w:val="28"/>
        </w:rPr>
        <w:t>（</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lang w:val="en-US" w:eastAsia="zh-CN"/>
        </w:rPr>
        <w:t>一次性竞价</w:t>
      </w:r>
      <w:r>
        <w:rPr>
          <w:rFonts w:hint="eastAsia" w:ascii="方正仿宋_GB2312" w:hAnsi="方正仿宋_GB2312" w:eastAsia="方正仿宋_GB2312" w:cs="方正仿宋_GB2312"/>
          <w:b w:val="0"/>
          <w:bCs w:val="0"/>
          <w:sz w:val="28"/>
          <w:szCs w:val="28"/>
        </w:rPr>
        <w:t>）</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方接受</w:t>
      </w:r>
      <w:r>
        <w:rPr>
          <w:rFonts w:hint="eastAsia" w:ascii="方正仿宋_GB2312" w:hAnsi="方正仿宋_GB2312" w:eastAsia="方正仿宋_GB2312" w:cs="方正仿宋_GB2312"/>
          <w:b w:val="0"/>
          <w:bCs w:val="0"/>
          <w:sz w:val="28"/>
          <w:szCs w:val="28"/>
          <w:lang w:val="en-US" w:eastAsia="zh-CN"/>
        </w:rPr>
        <w:t>采购</w:t>
      </w:r>
      <w:r>
        <w:rPr>
          <w:rFonts w:hint="eastAsia" w:ascii="方正仿宋_GB2312" w:hAnsi="方正仿宋_GB2312" w:eastAsia="方正仿宋_GB2312" w:cs="方正仿宋_GB2312"/>
          <w:b w:val="0"/>
          <w:bCs w:val="0"/>
          <w:sz w:val="28"/>
          <w:szCs w:val="28"/>
          <w:lang w:eastAsia="zh-CN"/>
        </w:rPr>
        <w:t>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val="en-US" w:eastAsia="zh-CN"/>
        </w:rPr>
        <w:t>竞得</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val="en-US" w:eastAsia="zh-CN"/>
        </w:rPr>
        <w:t>竞得</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 22 </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09：00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方须谨慎在网络报价，网络报价一经提交并经平台记录即视为有效报价，</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方初次</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报价可等于标的起拍价，之后每次</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报价必须比当前最高（低）报价递增一个加（减）价幅度以上的价格，且加（减）价按最小加（减）价幅度的整数倍加价。只有满足竞价加（减）价幅度等</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方在竞拍的</w:t>
      </w:r>
      <w:r>
        <w:rPr>
          <w:rFonts w:hint="eastAsia" w:ascii="方正仿宋_GB2312" w:hAnsi="方正仿宋_GB2312" w:eastAsia="方正仿宋_GB2312" w:cs="方正仿宋_GB2312"/>
          <w:b w:val="0"/>
          <w:bCs w:val="0"/>
          <w:sz w:val="28"/>
          <w:szCs w:val="28"/>
          <w:lang w:val="en-US" w:eastAsia="zh-CN"/>
        </w:rPr>
        <w:t>项目</w:t>
      </w:r>
      <w:r>
        <w:rPr>
          <w:rFonts w:hint="eastAsia" w:ascii="方正仿宋_GB2312" w:hAnsi="方正仿宋_GB2312" w:eastAsia="方正仿宋_GB2312" w:cs="方正仿宋_GB2312"/>
          <w:b w:val="0"/>
          <w:bCs w:val="0"/>
          <w:sz w:val="28"/>
          <w:szCs w:val="28"/>
        </w:rPr>
        <w:t>进入信息公告最后阶段，务必登录平台，密切观察交易动态，以确定信息公告的标的是否转为网络竞价状态，并参与竞拍。</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方应尽量避免在竞拍倒计时截止前的最后1分钟内进行报价，以防止因网络延迟造成系统无法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val="en-US" w:eastAsia="zh-CN"/>
        </w:rPr>
        <w:t>采购</w:t>
      </w:r>
      <w:r>
        <w:rPr>
          <w:rFonts w:hint="eastAsia" w:ascii="方正仿宋_GB2312" w:hAnsi="方正仿宋_GB2312" w:eastAsia="方正仿宋_GB2312" w:cs="方正仿宋_GB2312"/>
          <w:b w:val="0"/>
          <w:bCs w:val="0"/>
          <w:sz w:val="28"/>
          <w:szCs w:val="28"/>
          <w:lang w:eastAsia="zh-CN"/>
        </w:rPr>
        <w:t>方</w:t>
      </w:r>
      <w:r>
        <w:rPr>
          <w:rFonts w:hint="eastAsia" w:ascii="方正仿宋_GB2312" w:hAnsi="方正仿宋_GB2312" w:eastAsia="方正仿宋_GB2312" w:cs="方正仿宋_GB2312"/>
          <w:b w:val="0"/>
          <w:bCs w:val="0"/>
          <w:sz w:val="28"/>
          <w:szCs w:val="28"/>
        </w:rPr>
        <w:t>协商后续方案，并将结果及时通知各</w:t>
      </w:r>
      <w:r>
        <w:rPr>
          <w:rFonts w:hint="eastAsia" w:ascii="方正仿宋_GB2312" w:hAnsi="方正仿宋_GB2312" w:eastAsia="方正仿宋_GB2312" w:cs="方正仿宋_GB2312"/>
          <w:b w:val="0"/>
          <w:bCs w:val="0"/>
          <w:sz w:val="28"/>
          <w:szCs w:val="28"/>
          <w:lang w:val="en-US" w:eastAsia="zh-CN"/>
        </w:rPr>
        <w:t>意向</w:t>
      </w:r>
      <w:r>
        <w:rPr>
          <w:rFonts w:hint="eastAsia" w:ascii="方正仿宋_GB2312" w:hAnsi="方正仿宋_GB2312" w:eastAsia="方正仿宋_GB2312" w:cs="方正仿宋_GB2312"/>
          <w:b w:val="0"/>
          <w:bCs w:val="0"/>
          <w:sz w:val="28"/>
          <w:szCs w:val="28"/>
        </w:rPr>
        <w:t>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要求的时间和方式继续竞价或重新竞价，平台通知各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w:t>
      </w:r>
      <w:r>
        <w:rPr>
          <w:rFonts w:hint="eastAsia" w:ascii="方正仿宋_GB2312" w:hAnsi="方正仿宋_GB2312" w:eastAsia="方正仿宋_GB2312" w:cs="方正仿宋_GB2312"/>
          <w:sz w:val="28"/>
          <w:szCs w:val="28"/>
          <w:lang w:val="en-US" w:eastAsia="zh-CN"/>
        </w:rPr>
        <w:t>项目</w:t>
      </w:r>
      <w:r>
        <w:rPr>
          <w:rFonts w:hint="eastAsia" w:ascii="方正仿宋_GB2312" w:hAnsi="方正仿宋_GB2312" w:eastAsia="方正仿宋_GB2312" w:cs="方正仿宋_GB2312"/>
          <w:sz w:val="28"/>
          <w:szCs w:val="28"/>
        </w:rPr>
        <w:t>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w:t>
      </w:r>
      <w:r>
        <w:rPr>
          <w:rFonts w:hint="eastAsia" w:ascii="方正仿宋_GB2312" w:hAnsi="方正仿宋_GB2312" w:eastAsia="方正仿宋_GB2312" w:cs="方正仿宋_GB2312"/>
          <w:b/>
          <w:bCs/>
          <w:sz w:val="28"/>
          <w:szCs w:val="28"/>
          <w:lang w:val="en-US" w:eastAsia="zh-CN"/>
        </w:rPr>
        <w:t>项目</w:t>
      </w:r>
      <w:r>
        <w:rPr>
          <w:rFonts w:hint="eastAsia" w:ascii="方正仿宋_GB2312" w:hAnsi="方正仿宋_GB2312" w:eastAsia="方正仿宋_GB2312" w:cs="方正仿宋_GB2312"/>
          <w:b/>
          <w:bCs/>
          <w:sz w:val="28"/>
          <w:szCs w:val="28"/>
        </w:rPr>
        <w:t>存在争议的；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方有下列违约行为之一的，其所交纳的交易保证金将作为违约金扣除，平台有权中止、取消其竞得资格，并将其列入平台黑名单；造成平台及相关方损失的，由</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方原因未在规定的时间内与</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lang w:eastAsia="zh-CN"/>
        </w:rPr>
        <w:t>方</w:t>
      </w:r>
      <w:r>
        <w:rPr>
          <w:rFonts w:hint="eastAsia" w:ascii="方正仿宋_GB2312" w:hAnsi="方正仿宋_GB2312" w:eastAsia="方正仿宋_GB2312" w:cs="方正仿宋_GB2312"/>
          <w:b/>
          <w:bCs/>
          <w:sz w:val="28"/>
          <w:szCs w:val="28"/>
        </w:rPr>
        <w:t>签订交易合同的；</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方违反公平竞争原则，实施串通竞价、恶意抬价、排挤其他</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方，或者其他扰乱竞价交易活动秩序等侵害</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lang w:eastAsia="zh-CN"/>
        </w:rPr>
        <w:t>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方违反法律法规或相关规定给</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方和</w:t>
      </w:r>
      <w:r>
        <w:rPr>
          <w:rFonts w:hint="eastAsia" w:ascii="方正仿宋_GB2312" w:hAnsi="方正仿宋_GB2312" w:eastAsia="方正仿宋_GB2312" w:cs="方正仿宋_GB2312"/>
          <w:b/>
          <w:bCs/>
          <w:sz w:val="28"/>
          <w:szCs w:val="28"/>
          <w:lang w:val="en-US" w:eastAsia="zh-CN"/>
        </w:rPr>
        <w:t>采购</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highlight w:val="none"/>
          <w:lang w:val="en-US" w:eastAsia="zh-CN"/>
        </w:rPr>
        <w:t>项目竞得书</w:t>
      </w:r>
      <w:r>
        <w:rPr>
          <w:rFonts w:hint="eastAsia" w:ascii="方正仿宋_GB2312" w:hAnsi="方正仿宋_GB2312" w:eastAsia="方正仿宋_GB2312" w:cs="方正仿宋_GB2312"/>
          <w:b/>
          <w:bCs/>
          <w:sz w:val="28"/>
          <w:szCs w:val="28"/>
          <w:highlight w:val="none"/>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采购方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在双方签订合同、完成项目交接手续后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方以银行转账方式缴付交易保证金的，其交易保证金退回原划款账户；</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意向</w:t>
      </w:r>
      <w:r>
        <w:rPr>
          <w:rFonts w:hint="eastAsia" w:ascii="方正仿宋_GB2312" w:hAnsi="方正仿宋_GB2312" w:eastAsia="方正仿宋_GB2312" w:cs="方正仿宋_GB2312"/>
          <w:b/>
          <w:bCs/>
          <w:sz w:val="28"/>
          <w:szCs w:val="28"/>
        </w:rPr>
        <w:t>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u w:val="single"/>
          <w:lang w:val="en-US" w:eastAsia="zh-CN"/>
        </w:rPr>
        <w:t xml:space="preserve"> 道楠下村零星场地及道路硬化项目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方同意按照信息公告的要求，参加“</w:t>
      </w:r>
      <w:r>
        <w:rPr>
          <w:rFonts w:hint="eastAsia" w:ascii="方正仿宋_GB2312" w:hAnsi="方正仿宋_GB2312" w:eastAsia="方正仿宋_GB2312" w:cs="方正仿宋_GB2312"/>
          <w:sz w:val="28"/>
          <w:szCs w:val="28"/>
          <w:u w:val="single"/>
          <w:lang w:val="en-US" w:eastAsia="zh-CN"/>
        </w:rPr>
        <w:t xml:space="preserve"> 道楠下村零星场地及道路硬化项目 </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方对“</w:t>
      </w:r>
      <w:r>
        <w:rPr>
          <w:rFonts w:hint="eastAsia" w:ascii="方正仿宋_GB2312" w:hAnsi="方正仿宋_GB2312" w:eastAsia="方正仿宋_GB2312" w:cs="方正仿宋_GB2312"/>
          <w:sz w:val="28"/>
          <w:szCs w:val="28"/>
          <w:u w:val="single"/>
          <w:lang w:val="en-US" w:eastAsia="zh-CN"/>
        </w:rPr>
        <w:t xml:space="preserve"> 道楠下村零星场地及道路硬化项目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7D0F7D4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w:t>
      </w:r>
      <w:r>
        <w:rPr>
          <w:rFonts w:hint="eastAsia" w:ascii="方正仿宋_GB2312" w:hAnsi="方正仿宋_GB2312" w:eastAsia="方正仿宋_GB2312" w:cs="方正仿宋_GB2312"/>
          <w:sz w:val="28"/>
          <w:szCs w:val="28"/>
          <w:lang w:eastAsia="zh-CN"/>
        </w:rPr>
        <w:t>意向</w:t>
      </w:r>
      <w:r>
        <w:rPr>
          <w:rFonts w:hint="eastAsia" w:ascii="方正仿宋_GB2312" w:hAnsi="方正仿宋_GB2312" w:eastAsia="方正仿宋_GB2312" w:cs="方正仿宋_GB2312"/>
          <w:sz w:val="28"/>
          <w:szCs w:val="28"/>
        </w:rPr>
        <w:t>方已进行并完成针对本项目的尽职调查工作（包括但不限于查阅由</w:t>
      </w:r>
      <w:r>
        <w:rPr>
          <w:rFonts w:hint="eastAsia" w:ascii="方正仿宋_GB2312" w:hAnsi="方正仿宋_GB2312" w:eastAsia="方正仿宋_GB2312" w:cs="方正仿宋_GB2312"/>
          <w:sz w:val="28"/>
          <w:szCs w:val="28"/>
          <w:lang w:eastAsia="zh-CN"/>
        </w:rPr>
        <w:t>采购</w:t>
      </w:r>
      <w:r>
        <w:rPr>
          <w:rFonts w:hint="eastAsia" w:ascii="方正仿宋_GB2312" w:hAnsi="方正仿宋_GB2312" w:eastAsia="方正仿宋_GB2312" w:cs="方正仿宋_GB2312"/>
          <w:sz w:val="28"/>
          <w:szCs w:val="28"/>
        </w:rPr>
        <w:t>方提供的本项目的档案文件），对</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rPr>
        <w:t>项目情况已充分知晓。本</w:t>
      </w:r>
      <w:r>
        <w:rPr>
          <w:rFonts w:hint="eastAsia" w:ascii="方正仿宋_GB2312" w:hAnsi="方正仿宋_GB2312" w:eastAsia="方正仿宋_GB2312" w:cs="方正仿宋_GB2312"/>
          <w:sz w:val="28"/>
          <w:szCs w:val="28"/>
          <w:lang w:eastAsia="zh-CN"/>
        </w:rPr>
        <w:t>意向</w:t>
      </w:r>
      <w:r>
        <w:rPr>
          <w:rFonts w:hint="eastAsia" w:ascii="方正仿宋_GB2312" w:hAnsi="方正仿宋_GB2312" w:eastAsia="方正仿宋_GB2312" w:cs="方正仿宋_GB2312"/>
          <w:sz w:val="28"/>
          <w:szCs w:val="28"/>
        </w:rPr>
        <w:t>方自行承担包括但不限于因所获取的表达信息不全面、错误或误解等而产生的相应后果，竞拍</w:t>
      </w:r>
      <w:r>
        <w:rPr>
          <w:rFonts w:hint="eastAsia" w:ascii="方正仿宋_GB2312" w:hAnsi="方正仿宋_GB2312" w:eastAsia="方正仿宋_GB2312" w:cs="方正仿宋_GB2312"/>
          <w:sz w:val="28"/>
          <w:szCs w:val="28"/>
          <w:lang w:val="en-US" w:eastAsia="zh-CN"/>
        </w:rPr>
        <w:t>项目</w:t>
      </w:r>
      <w:r>
        <w:rPr>
          <w:rFonts w:hint="eastAsia" w:ascii="方正仿宋_GB2312" w:hAnsi="方正仿宋_GB2312" w:eastAsia="方正仿宋_GB2312" w:cs="方正仿宋_GB2312"/>
          <w:sz w:val="28"/>
          <w:szCs w:val="28"/>
        </w:rPr>
        <w:t>因</w:t>
      </w:r>
      <w:r>
        <w:rPr>
          <w:rFonts w:hint="eastAsia" w:ascii="方正仿宋_GB2312" w:hAnsi="方正仿宋_GB2312" w:eastAsia="方正仿宋_GB2312" w:cs="方正仿宋_GB2312"/>
          <w:sz w:val="28"/>
          <w:szCs w:val="28"/>
          <w:lang w:val="en-US" w:eastAsia="zh-CN"/>
        </w:rPr>
        <w:t>审批</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条件</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财务</w:t>
      </w:r>
      <w:r>
        <w:rPr>
          <w:rFonts w:hint="eastAsia" w:ascii="方正仿宋_GB2312" w:hAnsi="方正仿宋_GB2312" w:eastAsia="方正仿宋_GB2312" w:cs="方正仿宋_GB2312"/>
          <w:sz w:val="28"/>
          <w:szCs w:val="28"/>
        </w:rPr>
        <w:t>或</w:t>
      </w:r>
      <w:r>
        <w:rPr>
          <w:rFonts w:hint="eastAsia" w:ascii="方正仿宋_GB2312" w:hAnsi="方正仿宋_GB2312" w:eastAsia="方正仿宋_GB2312" w:cs="方正仿宋_GB2312"/>
          <w:sz w:val="28"/>
          <w:szCs w:val="28"/>
          <w:lang w:val="en-US" w:eastAsia="zh-CN"/>
        </w:rPr>
        <w:t>基础设施</w:t>
      </w:r>
      <w:r>
        <w:rPr>
          <w:rFonts w:hint="eastAsia" w:ascii="方正仿宋_GB2312" w:hAnsi="方正仿宋_GB2312" w:eastAsia="方正仿宋_GB2312" w:cs="方正仿宋_GB2312"/>
          <w:sz w:val="28"/>
          <w:szCs w:val="28"/>
        </w:rPr>
        <w:t>等产生的问题与海</w:t>
      </w:r>
      <w:r>
        <w:rPr>
          <w:rFonts w:hint="eastAsia" w:ascii="方正仿宋_GB2312" w:hAnsi="方正仿宋_GB2312" w:eastAsia="方正仿宋_GB2312" w:cs="方正仿宋_GB2312"/>
          <w:sz w:val="28"/>
          <w:szCs w:val="28"/>
          <w:lang w:val="en-US" w:eastAsia="zh-CN"/>
        </w:rPr>
        <w:t>口</w:t>
      </w:r>
      <w:r>
        <w:rPr>
          <w:rFonts w:hint="eastAsia" w:ascii="方正仿宋_GB2312" w:hAnsi="方正仿宋_GB2312" w:eastAsia="方正仿宋_GB2312" w:cs="方正仿宋_GB2312"/>
          <w:sz w:val="28"/>
          <w:szCs w:val="28"/>
        </w:rPr>
        <w:t>农村产权交易服务平台</w:t>
      </w:r>
    </w:p>
    <w:p w14:paraId="15A29E8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（http://hai</w:t>
      </w:r>
      <w:r>
        <w:rPr>
          <w:rFonts w:hint="eastAsia" w:ascii="方正仿宋_GB2312" w:hAnsi="方正仿宋_GB2312" w:eastAsia="方正仿宋_GB2312" w:cs="方正仿宋_GB2312"/>
          <w:sz w:val="28"/>
          <w:szCs w:val="28"/>
          <w:lang w:val="en-US" w:eastAsia="zh-CN"/>
        </w:rPr>
        <w:t>kou</w:t>
      </w:r>
      <w:r>
        <w:rPr>
          <w:rFonts w:hint="eastAsia" w:ascii="方正仿宋_GB2312" w:hAnsi="方正仿宋_GB2312" w:eastAsia="方正仿宋_GB2312" w:cs="方正仿宋_GB2312"/>
          <w:sz w:val="28"/>
          <w:szCs w:val="28"/>
        </w:rPr>
        <w:t>.nongjiao.com，以下简称“平台”）无关。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方同意</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val="en-US" w:eastAsia="zh-CN"/>
        </w:rPr>
        <w:t>采购</w:t>
      </w:r>
      <w:r>
        <w:rPr>
          <w:rFonts w:hint="eastAsia" w:ascii="方正仿宋_GB2312" w:hAnsi="方正仿宋_GB2312" w:eastAsia="方正仿宋_GB2312" w:cs="方正仿宋_GB2312"/>
          <w:sz w:val="28"/>
          <w:szCs w:val="28"/>
          <w:lang w:eastAsia="zh-CN"/>
        </w:rPr>
        <w:t>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项目竞得书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方承诺如遇互联网可能出现不稳定情况、网络黑客恶意攻击，以及本人操作失误等情况导致竞价无法正常报价的，所造成的损失由本</w:t>
      </w: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方承担（包括但不限于网络故障、电路故障、系统故障）。</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4480" w:firstLineChars="16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意向</w:t>
      </w:r>
      <w:r>
        <w:rPr>
          <w:rFonts w:hint="eastAsia" w:ascii="方正仿宋_GB2312" w:hAnsi="方正仿宋_GB2312" w:eastAsia="方正仿宋_GB2312" w:cs="方正仿宋_GB2312"/>
          <w:sz w:val="28"/>
          <w:szCs w:val="28"/>
        </w:rPr>
        <w:t>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02C2239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bookmarkStart w:id="17" w:name="_Toc21587"/>
      <w:bookmarkStart w:id="18" w:name="_Toc8991"/>
    </w:p>
    <w:p w14:paraId="5A6AFEEA">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hint="eastAsia" w:ascii="宋体" w:hAnsi="宋体" w:cs="宋体"/>
          <w:sz w:val="44"/>
          <w:szCs w:val="44"/>
        </w:rPr>
      </w:pPr>
      <w:r>
        <w:rPr>
          <w:rFonts w:hint="eastAsia" w:ascii="宋体" w:hAnsi="宋体" w:cs="宋体"/>
          <w:sz w:val="44"/>
          <w:szCs w:val="44"/>
          <w:lang w:val="en-US" w:eastAsia="zh-CN"/>
        </w:rPr>
        <w:t>村级采购项目意向报价</w:t>
      </w:r>
      <w:r>
        <w:rPr>
          <w:rFonts w:hint="eastAsia" w:ascii="宋体" w:hAnsi="宋体" w:cs="宋体"/>
          <w:sz w:val="44"/>
          <w:szCs w:val="44"/>
        </w:rPr>
        <w:t>申请书</w:t>
      </w:r>
      <w:bookmarkEnd w:id="17"/>
      <w:bookmarkEnd w:id="18"/>
    </w:p>
    <w:p w14:paraId="7B12C1B3">
      <w:pPr>
        <w:spacing w:line="360" w:lineRule="auto"/>
        <w:jc w:val="center"/>
        <w:rPr>
          <w:rFonts w:ascii="Times New Roman" w:hAnsi="Times New Roman"/>
          <w:sz w:val="28"/>
        </w:rPr>
      </w:pPr>
    </w:p>
    <w:p w14:paraId="13DC052B">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2"/>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2"/>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2"/>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2"/>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0505D893">
      <w:pPr>
        <w:pStyle w:val="16"/>
        <w:spacing w:line="520" w:lineRule="exact"/>
        <w:jc w:val="center"/>
        <w:rPr>
          <w:rFonts w:ascii="Times New Roman" w:hAnsi="Times New Roman"/>
          <w:b/>
          <w:bCs/>
          <w:sz w:val="32"/>
        </w:rPr>
      </w:pPr>
      <w:r>
        <w:rPr>
          <w:rFonts w:ascii="Times New Roman" w:hAnsi="Times New Roman"/>
          <w:b w:val="0"/>
          <w:bCs/>
          <w:sz w:val="32"/>
        </w:rPr>
        <w:br w:type="page"/>
      </w:r>
      <w:r>
        <w:rPr>
          <w:rFonts w:hint="eastAsia" w:ascii="宋体" w:hAnsi="宋体" w:cs="宋体"/>
          <w:sz w:val="44"/>
          <w:szCs w:val="44"/>
          <w:lang w:val="en-US" w:eastAsia="zh-CN"/>
        </w:rPr>
        <w:t xml:space="preserve"> 意向报价函</w:t>
      </w:r>
    </w:p>
    <w:p w14:paraId="0BAFAAF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w:t>
      </w:r>
      <w:r>
        <w:rPr>
          <w:rFonts w:hint="eastAsia" w:ascii="Times New Roman" w:hAnsi="Times New Roman"/>
          <w:bCs/>
          <w:sz w:val="24"/>
          <w:lang w:val="en-US" w:eastAsia="zh-CN"/>
        </w:rPr>
        <w:t>报价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00AF3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1、我方申请</w:t>
      </w:r>
      <w:r>
        <w:rPr>
          <w:rFonts w:hint="eastAsia" w:ascii="Times New Roman" w:hAnsi="Times New Roman"/>
          <w:bCs/>
          <w:sz w:val="24"/>
          <w:lang w:val="en-US" w:eastAsia="zh-CN"/>
        </w:rPr>
        <w:t>竞拍</w:t>
      </w:r>
      <w:r>
        <w:rPr>
          <w:rFonts w:hint="eastAsia" w:ascii="Times New Roman" w:hAnsi="Times New Roman"/>
          <w:bCs/>
          <w:sz w:val="24"/>
        </w:rPr>
        <w:t>该项目，并接受项目公开挂牌信息所载的全部</w:t>
      </w:r>
      <w:r>
        <w:rPr>
          <w:rFonts w:hint="eastAsia" w:ascii="Times New Roman" w:hAnsi="Times New Roman"/>
          <w:bCs/>
          <w:sz w:val="24"/>
          <w:lang w:val="en-US" w:eastAsia="zh-CN"/>
        </w:rPr>
        <w:t>采购</w:t>
      </w:r>
      <w:r>
        <w:rPr>
          <w:rFonts w:hint="eastAsia" w:ascii="Times New Roman" w:hAnsi="Times New Roman"/>
          <w:bCs/>
          <w:sz w:val="24"/>
        </w:rPr>
        <w:t>要求，我方</w:t>
      </w:r>
      <w:r>
        <w:rPr>
          <w:rFonts w:hint="eastAsia" w:ascii="Times New Roman" w:hAnsi="Times New Roman"/>
          <w:bCs/>
          <w:sz w:val="24"/>
          <w:lang w:val="en-US" w:eastAsia="zh-CN"/>
        </w:rPr>
        <w:t>竞价</w:t>
      </w:r>
      <w:r>
        <w:rPr>
          <w:rFonts w:hint="eastAsia" w:ascii="Times New Roman" w:hAnsi="Times New Roman"/>
          <w:bCs/>
          <w:sz w:val="24"/>
        </w:rPr>
        <w:t>行为已经过相应的有效内部决策并得到相应批准。</w:t>
      </w:r>
    </w:p>
    <w:p w14:paraId="584BDB9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2、我方具有良好的财务状况、商业信用和</w:t>
      </w:r>
      <w:r>
        <w:rPr>
          <w:rFonts w:hint="eastAsia" w:ascii="Times New Roman" w:hAnsi="Times New Roman"/>
          <w:bCs/>
          <w:sz w:val="24"/>
          <w:lang w:val="en-US" w:eastAsia="zh-CN"/>
        </w:rPr>
        <w:t>履约</w:t>
      </w:r>
      <w:r>
        <w:rPr>
          <w:rFonts w:hint="eastAsia" w:ascii="Times New Roman" w:hAnsi="Times New Roman"/>
          <w:bCs/>
          <w:sz w:val="24"/>
        </w:rPr>
        <w:t>能力，符合农村产权相关法律法规及政策对</w:t>
      </w:r>
      <w:r>
        <w:rPr>
          <w:rFonts w:hint="eastAsia" w:ascii="Times New Roman" w:hAnsi="Times New Roman"/>
          <w:bCs/>
          <w:sz w:val="24"/>
          <w:lang w:val="en-US" w:eastAsia="zh-CN"/>
        </w:rPr>
        <w:t>意向报价方</w:t>
      </w:r>
      <w:r>
        <w:rPr>
          <w:rFonts w:hint="eastAsia" w:ascii="Times New Roman" w:hAnsi="Times New Roman"/>
          <w:bCs/>
          <w:sz w:val="24"/>
        </w:rPr>
        <w:t>条件的规定。</w:t>
      </w:r>
    </w:p>
    <w:p w14:paraId="68B1FC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3、我方对所填写的内容及提交的所有材料（包括原件、复印件）的真实性、合法性、有效性、完整性承担责任。</w:t>
      </w:r>
    </w:p>
    <w:p w14:paraId="1536DE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4、已知悉贵服务平台的交易规则，并充分理解和认可，同意按照贵服务平台《</w:t>
      </w:r>
      <w:r>
        <w:rPr>
          <w:rFonts w:hint="eastAsia" w:ascii="Times New Roman" w:hAnsi="Times New Roman"/>
          <w:bCs/>
          <w:sz w:val="24"/>
          <w:lang w:val="en-US" w:eastAsia="zh-CN"/>
        </w:rPr>
        <w:t>海口农村产权交易中心网络竞价实施办法（试行）》</w:t>
      </w:r>
      <w:r>
        <w:rPr>
          <w:rFonts w:hint="eastAsia" w:ascii="Times New Roman" w:hAnsi="Times New Roman"/>
          <w:bCs/>
          <w:sz w:val="24"/>
        </w:rPr>
        <w:t>等相关规定实施农村产权流转活动；信息公告期满后，若只征集到一个意向方，则协议成交；若征集到两个或两个以上意向方，则遵照相关规定，参与网络竞价。</w:t>
      </w:r>
    </w:p>
    <w:p w14:paraId="7C2CCE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5、已知悉并认可贵服务平台的收费项目及标准，同意按规定交纳相关费用。</w:t>
      </w:r>
    </w:p>
    <w:p w14:paraId="0BFEC2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6、本次意向申请系我方真实意愿，一经作出不予撤回或变更，我方将及时办理相关手续，配合接受资格审核，严格遵守有关交易规则。</w:t>
      </w:r>
    </w:p>
    <w:p w14:paraId="7AB97EC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bookmarkStart w:id="19" w:name="_Toc28981"/>
      <w:bookmarkStart w:id="20" w:name="_Toc13357"/>
      <w:bookmarkStart w:id="21" w:name="_Toc11532"/>
      <w:r>
        <w:rPr>
          <w:rFonts w:hint="eastAsia" w:ascii="Times New Roman" w:hAnsi="Times New Roman"/>
          <w:bCs/>
          <w:sz w:val="24"/>
        </w:rPr>
        <w:t>7、我方承诺不通过其他渠道进行本项目交易。</w:t>
      </w:r>
      <w:bookmarkEnd w:id="19"/>
      <w:bookmarkEnd w:id="20"/>
      <w:bookmarkEnd w:id="21"/>
    </w:p>
    <w:p w14:paraId="1C3166F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8、我方承诺在项目中标收到《</w:t>
      </w:r>
      <w:r>
        <w:rPr>
          <w:rFonts w:hint="eastAsia" w:ascii="Times New Roman" w:hAnsi="Times New Roman"/>
          <w:bCs/>
          <w:sz w:val="24"/>
          <w:lang w:val="en-US" w:eastAsia="zh-CN"/>
        </w:rPr>
        <w:t>项目</w:t>
      </w:r>
      <w:r>
        <w:rPr>
          <w:rFonts w:hint="eastAsia" w:ascii="Times New Roman" w:hAnsi="Times New Roman"/>
          <w:bCs/>
          <w:sz w:val="24"/>
        </w:rPr>
        <w:t>竞得书》之后的规定时间内，完成合同签订及相关事宜，合同签订期间禁止将</w:t>
      </w:r>
      <w:r>
        <w:rPr>
          <w:rFonts w:hint="eastAsia" w:ascii="Times New Roman" w:hAnsi="Times New Roman"/>
          <w:bCs/>
          <w:sz w:val="24"/>
          <w:lang w:val="en-US" w:eastAsia="zh-CN"/>
        </w:rPr>
        <w:t>竞得</w:t>
      </w:r>
      <w:r>
        <w:rPr>
          <w:rFonts w:hint="eastAsia" w:ascii="Times New Roman" w:hAnsi="Times New Roman"/>
          <w:bCs/>
          <w:sz w:val="24"/>
        </w:rPr>
        <w:t>项目转让他人。</w:t>
      </w:r>
    </w:p>
    <w:p w14:paraId="3D30418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r>
        <w:rPr>
          <w:rFonts w:hint="eastAsia" w:ascii="Times New Roman" w:hAnsi="Times New Roman"/>
          <w:bCs/>
          <w:sz w:val="24"/>
        </w:rPr>
        <w:t>9、我方承诺按平台规定交纳交易保证金，若我方无故放弃本项目或因我方自身原因放弃本项目的，视为违约，我方交纳的交易保证金将不予退还，作为违约金扣除。</w:t>
      </w:r>
    </w:p>
    <w:p w14:paraId="0876AB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bCs/>
          <w:sz w:val="24"/>
        </w:rPr>
      </w:pPr>
      <w:bookmarkStart w:id="22" w:name="_Toc31003"/>
      <w:bookmarkStart w:id="23" w:name="_Toc24611"/>
      <w:bookmarkStart w:id="24" w:name="_Toc7009"/>
      <w:r>
        <w:rPr>
          <w:rFonts w:hint="eastAsia" w:ascii="Times New Roman" w:hAnsi="Times New Roman"/>
          <w:bCs/>
          <w:sz w:val="24"/>
        </w:rPr>
        <w:t>10、最终解释权归</w:t>
      </w:r>
      <w:r>
        <w:rPr>
          <w:rFonts w:hint="eastAsia" w:ascii="Times New Roman" w:hAnsi="Times New Roman"/>
          <w:bCs/>
          <w:sz w:val="24"/>
          <w:lang w:val="en-US" w:eastAsia="zh-CN"/>
        </w:rPr>
        <w:t>海口农村产权交易中心有限公司</w:t>
      </w:r>
      <w:r>
        <w:rPr>
          <w:rFonts w:hint="eastAsia" w:ascii="Times New Roman" w:hAnsi="Times New Roman"/>
          <w:bCs/>
          <w:sz w:val="24"/>
        </w:rPr>
        <w:t>。</w:t>
      </w:r>
      <w:bookmarkEnd w:id="22"/>
      <w:bookmarkEnd w:id="23"/>
      <w:bookmarkEnd w:id="24"/>
    </w:p>
    <w:p w14:paraId="6824A7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bCs/>
          <w:sz w:val="32"/>
        </w:rPr>
      </w:pPr>
    </w:p>
    <w:p w14:paraId="3B0CC98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b/>
          <w:bCs/>
          <w:sz w:val="24"/>
          <w:szCs w:val="24"/>
        </w:rPr>
      </w:pPr>
    </w:p>
    <w:p w14:paraId="1DED35F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keepNext w:val="0"/>
        <w:keepLines w:val="0"/>
        <w:pageBreakBefore w:val="0"/>
        <w:widowControl w:val="0"/>
        <w:kinsoku/>
        <w:wordWrap/>
        <w:overflowPunct/>
        <w:topLinePunct w:val="0"/>
        <w:autoSpaceDE/>
        <w:autoSpaceDN/>
        <w:bidi w:val="0"/>
        <w:adjustRightInd/>
        <w:snapToGrid/>
        <w:spacing w:line="400" w:lineRule="exact"/>
        <w:ind w:firstLine="5542" w:firstLineChars="2300"/>
        <w:textAlignment w:val="auto"/>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E25F8C7">
      <w:pPr>
        <w:pStyle w:val="3"/>
        <w:keepNext w:val="0"/>
        <w:keepLines w:val="0"/>
        <w:pageBreakBefore w:val="0"/>
        <w:widowControl w:val="0"/>
        <w:kinsoku/>
        <w:overflowPunct/>
        <w:topLinePunct w:val="0"/>
        <w:autoSpaceDE/>
        <w:autoSpaceDN/>
        <w:bidi w:val="0"/>
        <w:adjustRightInd/>
        <w:spacing w:line="240" w:lineRule="auto"/>
        <w:textAlignment w:val="auto"/>
        <w:rPr>
          <w:rFonts w:ascii="黑体" w:hAnsi="黑体"/>
          <w:color w:val="000000"/>
        </w:rPr>
      </w:pPr>
      <w:r>
        <w:rPr>
          <w:rFonts w:hint="eastAsia" w:ascii="黑体" w:hAnsi="黑体"/>
          <w:color w:val="000000"/>
        </w:rPr>
        <w:t>意向方登记表</w:t>
      </w:r>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127"/>
        <w:gridCol w:w="428"/>
        <w:gridCol w:w="1140"/>
        <w:gridCol w:w="75"/>
        <w:gridCol w:w="549"/>
        <w:gridCol w:w="381"/>
        <w:gridCol w:w="1329"/>
      </w:tblGrid>
      <w:tr w14:paraId="2C0A75ED">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39DB32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bCs/>
                <w:sz w:val="22"/>
              </w:rPr>
            </w:pPr>
            <w:r>
              <w:rPr>
                <w:rFonts w:hint="eastAsia" w:ascii="宋体" w:hAnsi="宋体" w:eastAsia="宋体"/>
                <w:bCs/>
                <w:sz w:val="22"/>
              </w:rPr>
              <w:t>意向</w:t>
            </w:r>
            <w:r>
              <w:rPr>
                <w:rFonts w:hint="eastAsia" w:ascii="宋体" w:hAnsi="宋体" w:eastAsia="宋体"/>
                <w:bCs/>
                <w:sz w:val="22"/>
                <w:lang w:val="en-US" w:eastAsia="zh-CN"/>
              </w:rPr>
              <w:t>报价</w:t>
            </w:r>
            <w:r>
              <w:rPr>
                <w:rFonts w:hint="eastAsia" w:ascii="宋体" w:hAnsi="宋体" w:eastAsia="宋体"/>
                <w:bCs/>
                <w:sz w:val="22"/>
              </w:rPr>
              <w:t>方</w:t>
            </w:r>
          </w:p>
          <w:p w14:paraId="7A723E8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D944E9">
            <w:pPr>
              <w:pStyle w:val="4"/>
              <w:keepNext w:val="0"/>
              <w:keepLines w:val="0"/>
              <w:pageBreakBefore w:val="0"/>
              <w:widowControl w:val="0"/>
              <w:kinsoku/>
              <w:overflowPunct/>
              <w:topLinePunct w:val="0"/>
              <w:autoSpaceDE/>
              <w:autoSpaceDN/>
              <w:bidi w:val="0"/>
              <w:adjustRightInd/>
              <w:textAlignment w:val="auto"/>
            </w:pPr>
          </w:p>
        </w:tc>
      </w:tr>
      <w:tr w14:paraId="4B5ACBF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D9FB59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2F701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91E4974">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7D397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E9DC7F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81D4DC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172AD9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BD7AF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B333201">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A0DE0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8C2445F">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5654AC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AB2B6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E06C6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2A57F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6BE5B0">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C0DB8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EAB2053">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09A1B86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D370D">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03772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222B36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3BDAE9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9C4F32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3B57BCA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7CDDDC">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3B55C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C3D6637">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1F33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90DEAFD">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5BCF0F5">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A1EAD18">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54A19D8">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2863C7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lang w:val="en-US" w:eastAsia="zh-CN"/>
              </w:rPr>
              <w:t>加工制造业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393F06F">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E15D08A">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2FD0EDE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0C6E717">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28F0E4CF">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874B24">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96C036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ACFDC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76261BA3">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063E692C">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35C0C6">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lang w:val="en-US" w:eastAsia="zh-CN"/>
              </w:rPr>
              <w:t xml:space="preserve">农村集体经济组织  </w:t>
            </w: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r>
              <w:rPr>
                <w:rFonts w:hint="eastAsia" w:ascii="宋体" w:hAnsi="宋体" w:eastAsia="宋体"/>
                <w:sz w:val="22"/>
                <w:u w:val="single"/>
                <w:lang w:val="en-US" w:eastAsia="zh-CN"/>
              </w:rPr>
              <w:t xml:space="preserve">            </w:t>
            </w:r>
            <w:r>
              <w:rPr>
                <w:rFonts w:ascii="宋体" w:hAnsi="宋体" w:eastAsia="宋体"/>
                <w:sz w:val="22"/>
                <w:u w:val="single"/>
              </w:rPr>
              <w:t xml:space="preserve">  </w:t>
            </w:r>
          </w:p>
        </w:tc>
      </w:tr>
      <w:tr w14:paraId="4B3E1A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D7CF1E">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573E3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lang w:val="en-US" w:eastAsia="zh-CN"/>
              </w:rPr>
              <w:t>统一社会信用</w:t>
            </w:r>
            <w:r>
              <w:rPr>
                <w:rFonts w:hint="eastAsia" w:ascii="宋体" w:hAnsi="宋体" w:eastAsia="宋体"/>
                <w:sz w:val="22"/>
              </w:rPr>
              <w:t>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24D5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r>
      <w:tr w14:paraId="4C5FEC4A">
        <w:tblPrEx>
          <w:tblCellMar>
            <w:top w:w="0" w:type="dxa"/>
            <w:left w:w="0" w:type="dxa"/>
            <w:bottom w:w="0" w:type="dxa"/>
            <w:right w:w="0" w:type="dxa"/>
          </w:tblCellMar>
        </w:tblPrEx>
        <w:trPr>
          <w:trHeight w:val="1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C4E83A9">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571D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624302B">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p w14:paraId="06107013">
            <w:pPr>
              <w:rPr>
                <w:rFonts w:ascii="宋体" w:hAnsi="宋体" w:eastAsia="宋体"/>
                <w:sz w:val="22"/>
              </w:rPr>
            </w:pPr>
          </w:p>
          <w:p w14:paraId="2744E811">
            <w:pPr>
              <w:pStyle w:val="4"/>
              <w:rPr>
                <w:rFonts w:ascii="宋体" w:hAnsi="宋体" w:eastAsia="宋体"/>
                <w:sz w:val="22"/>
              </w:rPr>
            </w:pPr>
          </w:p>
          <w:p w14:paraId="0FA724C1">
            <w:pPr>
              <w:pStyle w:val="4"/>
              <w:rPr>
                <w:rFonts w:ascii="宋体" w:hAnsi="宋体" w:eastAsia="宋体"/>
                <w:sz w:val="22"/>
              </w:rPr>
            </w:pPr>
          </w:p>
          <w:p w14:paraId="1A4A2091"/>
        </w:tc>
      </w:tr>
      <w:tr w14:paraId="3BF199D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2D61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DB1916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C532585">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649199C3">
            <w:pPr>
              <w:keepNext w:val="0"/>
              <w:keepLines w:val="0"/>
              <w:pageBreakBefore w:val="0"/>
              <w:widowControl w:val="0"/>
              <w:kinsoku/>
              <w:overflowPunct/>
              <w:topLinePunct w:val="0"/>
              <w:autoSpaceDE/>
              <w:autoSpaceDN/>
              <w:bidi w:val="0"/>
              <w:adjustRightInd/>
              <w:spacing w:line="360" w:lineRule="auto"/>
              <w:ind w:left="48"/>
              <w:textAlignment w:val="auto"/>
              <w:rPr>
                <w:rFonts w:ascii="宋体" w:hAnsi="宋体" w:eastAsia="宋体"/>
                <w:sz w:val="22"/>
              </w:rPr>
            </w:pPr>
            <w:r>
              <w:rPr>
                <w:rFonts w:hint="eastAsia" w:ascii="宋体" w:hAnsi="宋体" w:eastAsia="宋体"/>
                <w:sz w:val="22"/>
              </w:rPr>
              <w:t>报表时间：</w:t>
            </w:r>
          </w:p>
        </w:tc>
      </w:tr>
      <w:tr w14:paraId="222B6E1E">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79850">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B46267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625C9EE">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总资产</w:t>
            </w:r>
          </w:p>
          <w:p w14:paraId="27F2B551">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25D3076">
            <w:pPr>
              <w:pStyle w:val="17"/>
              <w:keepNext w:val="0"/>
              <w:keepLines w:val="0"/>
              <w:pageBreakBefore w:val="0"/>
              <w:widowControl w:val="0"/>
              <w:kinsoku/>
              <w:overflowPunct/>
              <w:topLinePunct w:val="0"/>
              <w:autoSpaceDE/>
              <w:autoSpaceDN/>
              <w:bidi w:val="0"/>
              <w:adjustRightInd/>
              <w:spacing w:line="360" w:lineRule="auto"/>
              <w:jc w:val="center"/>
              <w:textAlignment w:val="auto"/>
            </w:pPr>
          </w:p>
          <w:p w14:paraId="7775027F">
            <w:pPr>
              <w:keepNext w:val="0"/>
              <w:keepLines w:val="0"/>
              <w:pageBreakBefore w:val="0"/>
              <w:widowControl w:val="0"/>
              <w:kinsoku/>
              <w:overflowPunct/>
              <w:topLinePunct w:val="0"/>
              <w:autoSpaceDE/>
              <w:autoSpaceDN/>
              <w:bidi w:val="0"/>
              <w:adjustRightInd/>
              <w:textAlignment w:val="auto"/>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72AB9137">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5BCA7C66">
            <w:pPr>
              <w:pStyle w:val="17"/>
              <w:keepNext w:val="0"/>
              <w:keepLines w:val="0"/>
              <w:pageBreakBefore w:val="0"/>
              <w:widowControl w:val="0"/>
              <w:kinsoku/>
              <w:overflowPunct/>
              <w:topLinePunct w:val="0"/>
              <w:autoSpaceDE/>
              <w:autoSpaceDN/>
              <w:bidi w:val="0"/>
              <w:adjustRightInd/>
              <w:spacing w:line="360" w:lineRule="auto"/>
              <w:jc w:val="center"/>
              <w:textAlignment w:val="auto"/>
            </w:pPr>
          </w:p>
          <w:p w14:paraId="36466DDF">
            <w:pPr>
              <w:pStyle w:val="8"/>
              <w:keepNext w:val="0"/>
              <w:keepLines w:val="0"/>
              <w:pageBreakBefore w:val="0"/>
              <w:widowControl w:val="0"/>
              <w:kinsoku/>
              <w:overflowPunct/>
              <w:topLinePunct w:val="0"/>
              <w:autoSpaceDE/>
              <w:autoSpaceDN/>
              <w:bidi w:val="0"/>
              <w:adjustRightInd/>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036BA2E8">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hint="eastAsia" w:ascii="宋体" w:hAnsi="宋体" w:eastAsia="宋体"/>
                <w:sz w:val="22"/>
                <w:szCs w:val="24"/>
              </w:rPr>
              <w:t>净资产</w:t>
            </w:r>
          </w:p>
          <w:p w14:paraId="504EA3C4">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07FFD51">
            <w:pPr>
              <w:pStyle w:val="17"/>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szCs w:val="24"/>
              </w:rPr>
            </w:pPr>
          </w:p>
        </w:tc>
      </w:tr>
      <w:tr w14:paraId="570453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C2CF5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DE8F1CB">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r>
              <w:rPr>
                <w:rFonts w:hint="eastAsia" w:ascii="宋体" w:hAnsi="宋体" w:eastAsia="宋体"/>
                <w:bCs/>
                <w:sz w:val="22"/>
                <w:lang w:eastAsia="zh-CN"/>
              </w:rPr>
              <w:t>（</w:t>
            </w:r>
            <w:r>
              <w:rPr>
                <w:rFonts w:hint="eastAsia" w:ascii="宋体" w:hAnsi="宋体" w:eastAsia="宋体"/>
                <w:bCs/>
                <w:sz w:val="22"/>
                <w:lang w:val="en-US" w:eastAsia="zh-CN"/>
              </w:rPr>
              <w:t>含个体工商户）</w:t>
            </w:r>
          </w:p>
        </w:tc>
      </w:tr>
      <w:tr w14:paraId="0D7B41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93A42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200926">
            <w:pPr>
              <w:keepNext w:val="0"/>
              <w:keepLines w:val="0"/>
              <w:pageBreakBefore w:val="0"/>
              <w:widowControl w:val="0"/>
              <w:kinsoku/>
              <w:overflowPunct/>
              <w:topLinePunct w:val="0"/>
              <w:autoSpaceDE/>
              <w:autoSpaceDN/>
              <w:bidi w:val="0"/>
              <w:adjustRightInd/>
              <w:jc w:val="center"/>
              <w:textAlignment w:val="auto"/>
              <w:rPr>
                <w:rFonts w:ascii="宋体" w:hAnsi="宋体" w:eastAsia="宋体"/>
                <w:sz w:val="22"/>
              </w:rPr>
            </w:pPr>
            <w:r>
              <w:rPr>
                <w:rFonts w:hint="eastAsia" w:ascii="宋体" w:hAnsi="宋体" w:eastAsia="宋体"/>
                <w:sz w:val="22"/>
              </w:rPr>
              <w:t>证件名称</w:t>
            </w:r>
          </w:p>
        </w:tc>
        <w:tc>
          <w:tcPr>
            <w:tcW w:w="2485" w:type="dxa"/>
            <w:gridSpan w:val="5"/>
            <w:tcBorders>
              <w:top w:val="single" w:color="auto" w:sz="4" w:space="0"/>
              <w:left w:val="single" w:color="auto" w:sz="4" w:space="0"/>
              <w:bottom w:val="single" w:color="auto" w:sz="4" w:space="0"/>
              <w:right w:val="single" w:color="auto" w:sz="4" w:space="0"/>
            </w:tcBorders>
            <w:vAlign w:val="bottom"/>
          </w:tcPr>
          <w:p w14:paraId="499651F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sz w:val="22"/>
                <w:lang w:val="en-US" w:eastAsia="zh-CN"/>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2EB8342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E11355">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r w14:paraId="03659AB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2E8C1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9660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工作单位</w:t>
            </w:r>
          </w:p>
        </w:tc>
        <w:tc>
          <w:tcPr>
            <w:tcW w:w="2485" w:type="dxa"/>
            <w:gridSpan w:val="5"/>
            <w:tcBorders>
              <w:top w:val="single" w:color="auto" w:sz="4" w:space="0"/>
              <w:left w:val="single" w:color="auto" w:sz="4" w:space="0"/>
              <w:bottom w:val="single" w:color="auto" w:sz="4" w:space="0"/>
              <w:right w:val="single" w:color="auto" w:sz="4" w:space="0"/>
            </w:tcBorders>
            <w:vAlign w:val="bottom"/>
          </w:tcPr>
          <w:p w14:paraId="1CCF543F">
            <w:pPr>
              <w:keepNext w:val="0"/>
              <w:keepLines w:val="0"/>
              <w:pageBreakBefore w:val="0"/>
              <w:widowControl w:val="0"/>
              <w:kinsoku/>
              <w:overflowPunct/>
              <w:topLinePunct w:val="0"/>
              <w:autoSpaceDE/>
              <w:autoSpaceDN/>
              <w:bidi w:val="0"/>
              <w:adjustRightInd/>
              <w:spacing w:line="360" w:lineRule="auto"/>
              <w:textAlignment w:val="auto"/>
              <w:rPr>
                <w:rFonts w:hint="default" w:ascii="宋体" w:hAnsi="宋体" w:eastAsia="宋体"/>
                <w:sz w:val="22"/>
                <w:lang w:val="en-US" w:eastAsia="zh-CN"/>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49CC09E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6DB87FE">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r w14:paraId="22B5C9E4">
        <w:tblPrEx>
          <w:tblCellMar>
            <w:top w:w="0" w:type="dxa"/>
            <w:left w:w="0" w:type="dxa"/>
            <w:bottom w:w="0" w:type="dxa"/>
            <w:right w:w="0" w:type="dxa"/>
          </w:tblCellMar>
        </w:tblPrEx>
        <w:trPr>
          <w:cantSplit/>
          <w:trHeight w:val="1974" w:hRule="atLeast"/>
          <w:jc w:val="center"/>
        </w:trPr>
        <w:tc>
          <w:tcPr>
            <w:tcW w:w="1413" w:type="dxa"/>
            <w:tcBorders>
              <w:top w:val="nil"/>
              <w:left w:val="single" w:color="auto" w:sz="4" w:space="0"/>
              <w:bottom w:val="single" w:color="auto" w:sz="4" w:space="0"/>
              <w:right w:val="single" w:color="auto" w:sz="4" w:space="0"/>
            </w:tcBorders>
            <w:vAlign w:val="center"/>
          </w:tcPr>
          <w:p w14:paraId="148D8FC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top"/>
          </w:tcPr>
          <w:p w14:paraId="62C3AAFE">
            <w:pPr>
              <w:rPr>
                <w:rFonts w:hint="default"/>
                <w:lang w:val="en-US" w:eastAsia="zh-CN"/>
              </w:rPr>
            </w:pPr>
          </w:p>
        </w:tc>
      </w:tr>
      <w:tr w14:paraId="66100A3D">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0E109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附件</w:t>
            </w:r>
          </w:p>
          <w:p w14:paraId="1CE241E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97582F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1C9816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345D11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DF813A">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186248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3816ED">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183951E3">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7DD365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5695C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3D30C8">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EADFE88">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成交方式为网络竞价时须提供</w:t>
            </w:r>
          </w:p>
        </w:tc>
      </w:tr>
      <w:tr w14:paraId="13582E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CE7C6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36F58B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3B2476">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2E53EFCF">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09DD11A7">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72B1435">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2ED0C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0CB476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25" w:name="OLE_LINK12"/>
            <w:r>
              <w:rPr>
                <w:rFonts w:hint="eastAsia" w:ascii="宋体" w:hAnsi="宋体" w:eastAsia="宋体"/>
                <w:sz w:val="22"/>
              </w:rPr>
              <w:t>（备注项目编号）</w:t>
            </w:r>
            <w:bookmarkEnd w:id="25"/>
          </w:p>
        </w:tc>
        <w:tc>
          <w:tcPr>
            <w:tcW w:w="1710" w:type="dxa"/>
            <w:gridSpan w:val="2"/>
            <w:vMerge w:val="continue"/>
            <w:tcBorders>
              <w:left w:val="single" w:color="auto" w:sz="4" w:space="0"/>
              <w:bottom w:val="single" w:color="auto" w:sz="4" w:space="0"/>
              <w:right w:val="single" w:color="auto" w:sz="4" w:space="0"/>
            </w:tcBorders>
            <w:vAlign w:val="center"/>
          </w:tcPr>
          <w:p w14:paraId="189A66E2">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77FFAE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864C21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0024696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r>
              <w:rPr>
                <w:rFonts w:hint="eastAsia" w:ascii="宋体" w:hAnsi="宋体" w:eastAsia="宋体"/>
                <w:bCs/>
                <w:sz w:val="22"/>
              </w:rPr>
              <w:t>法人单位</w:t>
            </w:r>
          </w:p>
          <w:p w14:paraId="5CCC5DDF">
            <w:pPr>
              <w:keepNext w:val="0"/>
              <w:keepLines w:val="0"/>
              <w:pageBreakBefore w:val="0"/>
              <w:widowControl w:val="0"/>
              <w:kinsoku/>
              <w:overflowPunct/>
              <w:topLinePunct w:val="0"/>
              <w:autoSpaceDE/>
              <w:autoSpaceDN/>
              <w:bidi w:val="0"/>
              <w:adjustRightInd/>
              <w:spacing w:line="360" w:lineRule="auto"/>
              <w:jc w:val="both"/>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2F60E">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7D7A2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D4A389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A08D56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0CE655">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2FEEA3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58BA10">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CE8E8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3DB957">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法定代表人</w:t>
            </w:r>
            <w:r>
              <w:rPr>
                <w:rFonts w:hint="eastAsia" w:ascii="宋体" w:hAnsi="宋体" w:eastAsia="宋体"/>
                <w:sz w:val="22"/>
                <w:lang w:val="en-US" w:eastAsia="zh-CN"/>
              </w:rPr>
              <w:t>及经办人</w:t>
            </w:r>
            <w:r>
              <w:rPr>
                <w:rFonts w:hint="eastAsia" w:ascii="宋体" w:hAnsi="宋体" w:eastAsia="宋体"/>
                <w:sz w:val="22"/>
              </w:rPr>
              <w:t>身份证复印件</w:t>
            </w:r>
          </w:p>
        </w:tc>
      </w:tr>
      <w:tr w14:paraId="4B449D7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E9BBBC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22936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56468A">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145354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FC8FBD">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9EA238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68C7887">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023F7D7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06D8C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6A8B93">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F241D8">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7FE1FD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2AE40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0E728C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924DDB">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70E99F6">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成交方式为网络竞价时须提供</w:t>
            </w:r>
          </w:p>
        </w:tc>
      </w:tr>
      <w:tr w14:paraId="7789D11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631153C">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C01AC27">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F06D31">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5E1E82D">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646D69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368BCE">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414B9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93001D5">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8C2C8B0">
            <w:pPr>
              <w:keepNext w:val="0"/>
              <w:keepLines w:val="0"/>
              <w:pageBreakBefore w:val="0"/>
              <w:widowControl w:val="0"/>
              <w:kinsoku/>
              <w:overflowPunct/>
              <w:topLinePunct w:val="0"/>
              <w:autoSpaceDE/>
              <w:autoSpaceDN/>
              <w:bidi w:val="0"/>
              <w:adjustRightInd/>
              <w:spacing w:line="360" w:lineRule="auto"/>
              <w:jc w:val="left"/>
              <w:textAlignment w:val="auto"/>
              <w:rPr>
                <w:rFonts w:ascii="宋体" w:hAnsi="宋体" w:eastAsia="宋体"/>
                <w:sz w:val="22"/>
              </w:rPr>
            </w:pPr>
          </w:p>
        </w:tc>
      </w:tr>
      <w:tr w14:paraId="2CC7F957">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66F6232">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B1D64E1">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委托机构</w:t>
            </w:r>
          </w:p>
        </w:tc>
        <w:tc>
          <w:tcPr>
            <w:tcW w:w="2485" w:type="dxa"/>
            <w:gridSpan w:val="5"/>
            <w:tcBorders>
              <w:top w:val="single" w:color="auto" w:sz="4" w:space="0"/>
              <w:left w:val="single" w:color="auto" w:sz="4" w:space="0"/>
              <w:bottom w:val="single" w:color="auto" w:sz="4" w:space="0"/>
              <w:right w:val="single" w:color="auto" w:sz="4" w:space="0"/>
            </w:tcBorders>
            <w:vAlign w:val="center"/>
          </w:tcPr>
          <w:p w14:paraId="39800DDE">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2192" w:type="dxa"/>
            <w:gridSpan w:val="4"/>
            <w:tcBorders>
              <w:top w:val="single" w:color="auto" w:sz="4" w:space="0"/>
              <w:left w:val="single" w:color="auto" w:sz="4" w:space="0"/>
              <w:bottom w:val="single" w:color="auto" w:sz="4" w:space="0"/>
              <w:right w:val="single" w:color="auto" w:sz="4" w:space="0"/>
            </w:tcBorders>
            <w:vAlign w:val="center"/>
          </w:tcPr>
          <w:p w14:paraId="4B65A6AB">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1B8158">
            <w:pPr>
              <w:keepNext w:val="0"/>
              <w:keepLines w:val="0"/>
              <w:pageBreakBefore w:val="0"/>
              <w:widowControl w:val="0"/>
              <w:kinsoku/>
              <w:overflowPunct/>
              <w:topLinePunct w:val="0"/>
              <w:autoSpaceDE/>
              <w:autoSpaceDN/>
              <w:bidi w:val="0"/>
              <w:adjustRightInd/>
              <w:spacing w:line="360" w:lineRule="auto"/>
              <w:textAlignment w:val="auto"/>
              <w:rPr>
                <w:rFonts w:ascii="宋体" w:hAnsi="宋体" w:eastAsia="宋体"/>
                <w:sz w:val="22"/>
              </w:rPr>
            </w:pPr>
          </w:p>
        </w:tc>
      </w:tr>
      <w:tr w14:paraId="4E955289">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E04C5E9">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D1C8A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w:t>
            </w:r>
          </w:p>
        </w:tc>
        <w:tc>
          <w:tcPr>
            <w:tcW w:w="2485" w:type="dxa"/>
            <w:gridSpan w:val="5"/>
            <w:tcBorders>
              <w:top w:val="single" w:color="auto" w:sz="4" w:space="0"/>
              <w:left w:val="single" w:color="auto" w:sz="4" w:space="0"/>
              <w:bottom w:val="single" w:color="auto" w:sz="4" w:space="0"/>
              <w:right w:val="single" w:color="auto" w:sz="4" w:space="0"/>
            </w:tcBorders>
            <w:vAlign w:val="center"/>
          </w:tcPr>
          <w:p w14:paraId="0ADE2453">
            <w:pPr>
              <w:keepNext w:val="0"/>
              <w:keepLines w:val="0"/>
              <w:pageBreakBefore w:val="0"/>
              <w:widowControl w:val="0"/>
              <w:kinsoku/>
              <w:overflowPunct/>
              <w:topLinePunct w:val="0"/>
              <w:autoSpaceDE/>
              <w:autoSpaceDN/>
              <w:bidi w:val="0"/>
              <w:adjustRightInd/>
              <w:spacing w:line="360" w:lineRule="auto"/>
              <w:jc w:val="center"/>
              <w:textAlignment w:val="auto"/>
              <w:rPr>
                <w:rFonts w:hint="eastAsia" w:ascii="宋体" w:hAnsi="宋体" w:eastAsia="宋体"/>
                <w:sz w:val="22"/>
                <w:lang w:val="en-US" w:eastAsia="zh-CN"/>
              </w:rPr>
            </w:pPr>
          </w:p>
        </w:tc>
        <w:tc>
          <w:tcPr>
            <w:tcW w:w="2192" w:type="dxa"/>
            <w:gridSpan w:val="4"/>
            <w:tcBorders>
              <w:top w:val="single" w:color="auto" w:sz="4" w:space="0"/>
              <w:left w:val="single" w:color="auto" w:sz="4" w:space="0"/>
              <w:bottom w:val="single" w:color="auto" w:sz="4" w:space="0"/>
              <w:right w:val="single" w:color="auto" w:sz="4" w:space="0"/>
            </w:tcBorders>
            <w:vAlign w:val="center"/>
          </w:tcPr>
          <w:p w14:paraId="3A8E87A4">
            <w:pPr>
              <w:keepNext w:val="0"/>
              <w:keepLines w:val="0"/>
              <w:pageBreakBefore w:val="0"/>
              <w:widowControl w:val="0"/>
              <w:kinsoku/>
              <w:overflowPunct/>
              <w:topLinePunct w:val="0"/>
              <w:autoSpaceDE/>
              <w:autoSpaceDN/>
              <w:bidi w:val="0"/>
              <w:adjustRightInd/>
              <w:spacing w:line="360" w:lineRule="auto"/>
              <w:jc w:val="center"/>
              <w:textAlignment w:val="auto"/>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87752F7">
            <w:pPr>
              <w:keepNext w:val="0"/>
              <w:keepLines w:val="0"/>
              <w:pageBreakBefore w:val="0"/>
              <w:widowControl w:val="0"/>
              <w:kinsoku/>
              <w:overflowPunct/>
              <w:topLinePunct w:val="0"/>
              <w:autoSpaceDE/>
              <w:autoSpaceDN/>
              <w:bidi w:val="0"/>
              <w:adjustRightInd/>
              <w:spacing w:line="360" w:lineRule="auto"/>
              <w:jc w:val="center"/>
              <w:textAlignment w:val="auto"/>
              <w:rPr>
                <w:rFonts w:hint="default" w:ascii="宋体" w:hAnsi="宋体" w:eastAsia="宋体"/>
                <w:sz w:val="22"/>
                <w:lang w:val="en-US" w:eastAsia="zh-CN"/>
              </w:rPr>
            </w:pPr>
          </w:p>
        </w:tc>
      </w:tr>
    </w:tbl>
    <w:p w14:paraId="7062A1C5">
      <w:pPr>
        <w:rPr>
          <w:rFonts w:hint="eastAsia" w:ascii="方正小标宋简体" w:hAnsi="方正小标宋简体" w:eastAsia="方正小标宋简体" w:cs="方正小标宋简体"/>
          <w:b/>
          <w:bCs/>
          <w:sz w:val="44"/>
          <w:szCs w:val="44"/>
          <w:lang w:val="en-US" w:eastAsia="zh-CN"/>
        </w:rPr>
      </w:pPr>
    </w:p>
    <w:p w14:paraId="4831AE65">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道楠下村零星场地及道路硬化项目交易</w:t>
      </w:r>
      <w:r>
        <w:rPr>
          <w:rFonts w:hint="eastAsia" w:ascii="方正小标宋简体" w:hAnsi="方正小标宋简体" w:eastAsia="方正小标宋简体" w:cs="方正小标宋简体"/>
          <w:b/>
          <w:bCs/>
          <w:sz w:val="44"/>
          <w:szCs w:val="44"/>
        </w:rPr>
        <w:t>公示</w:t>
      </w:r>
    </w:p>
    <w:p w14:paraId="7A91C40F">
      <w:pPr>
        <w:spacing w:line="480" w:lineRule="exact"/>
        <w:ind w:firstLine="640" w:firstLineChars="200"/>
        <w:jc w:val="both"/>
        <w:rPr>
          <w:rFonts w:hint="eastAsia" w:asciiTheme="minorEastAsia" w:hAnsiTheme="minorEastAsia" w:eastAsiaTheme="minorEastAsia" w:cstheme="minorEastAsia"/>
          <w:sz w:val="32"/>
          <w:szCs w:val="32"/>
        </w:rPr>
      </w:pPr>
    </w:p>
    <w:p w14:paraId="578030F4">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经</w:t>
      </w:r>
      <w:r>
        <w:rPr>
          <w:rFonts w:hint="eastAsia" w:ascii="方正仿宋_GB2312" w:hAnsi="方正仿宋_GB2312" w:eastAsia="方正仿宋_GB2312" w:cs="方正仿宋_GB2312"/>
          <w:sz w:val="28"/>
          <w:szCs w:val="28"/>
          <w:highlight w:val="none"/>
          <w:u w:val="single"/>
          <w:lang w:val="en-US" w:eastAsia="zh-CN"/>
        </w:rPr>
        <w:t xml:space="preserve"> 海口市美兰区灵山镇大林村委会道楠下村民小组 </w:t>
      </w:r>
      <w:r>
        <w:rPr>
          <w:rFonts w:hint="eastAsia" w:ascii="方正仿宋_GB2312" w:hAnsi="方正仿宋_GB2312" w:eastAsia="方正仿宋_GB2312" w:cs="方正仿宋_GB2312"/>
          <w:sz w:val="28"/>
          <w:szCs w:val="28"/>
          <w:highlight w:val="none"/>
        </w:rPr>
        <w:t>召开的会议决议</w:t>
      </w:r>
      <w:r>
        <w:rPr>
          <w:rFonts w:hint="eastAsia" w:ascii="方正仿宋_GB2312" w:hAnsi="方正仿宋_GB2312" w:eastAsia="方正仿宋_GB2312" w:cs="方正仿宋_GB2312"/>
          <w:sz w:val="28"/>
          <w:szCs w:val="28"/>
          <w:highlight w:val="none"/>
          <w:lang w:val="en-US" w:eastAsia="zh-CN"/>
        </w:rPr>
        <w:t>及审批意见</w:t>
      </w:r>
      <w:r>
        <w:rPr>
          <w:rFonts w:hint="eastAsia" w:ascii="方正仿宋_GB2312" w:hAnsi="方正仿宋_GB2312" w:eastAsia="方正仿宋_GB2312" w:cs="方正仿宋_GB2312"/>
          <w:sz w:val="28"/>
          <w:szCs w:val="28"/>
          <w:highlight w:val="none"/>
        </w:rPr>
        <w:t>，同意</w:t>
      </w:r>
      <w:r>
        <w:rPr>
          <w:rFonts w:hint="eastAsia" w:ascii="方正仿宋_GB2312" w:hAnsi="方正仿宋_GB2312" w:eastAsia="方正仿宋_GB2312" w:cs="方正仿宋_GB2312"/>
          <w:sz w:val="28"/>
          <w:szCs w:val="28"/>
          <w:highlight w:val="none"/>
          <w:u w:val="single"/>
          <w:lang w:val="en-US" w:eastAsia="zh-CN"/>
        </w:rPr>
        <w:t xml:space="preserve"> 道楠下村零星场地及道路硬化项目 </w:t>
      </w:r>
      <w:r>
        <w:rPr>
          <w:rFonts w:hint="eastAsia" w:ascii="方正仿宋_GB2312" w:hAnsi="方正仿宋_GB2312" w:eastAsia="方正仿宋_GB2312" w:cs="方正仿宋_GB2312"/>
          <w:sz w:val="28"/>
          <w:szCs w:val="28"/>
          <w:highlight w:val="none"/>
          <w:lang w:val="en-US" w:eastAsia="zh-CN"/>
        </w:rPr>
        <w:t>项目</w:t>
      </w:r>
      <w:r>
        <w:rPr>
          <w:rFonts w:hint="eastAsia" w:ascii="方正仿宋_GB2312" w:hAnsi="方正仿宋_GB2312" w:eastAsia="方正仿宋_GB2312" w:cs="方正仿宋_GB2312"/>
          <w:sz w:val="28"/>
          <w:szCs w:val="28"/>
          <w:highlight w:val="none"/>
        </w:rPr>
        <w:t>在海</w:t>
      </w:r>
      <w:r>
        <w:rPr>
          <w:rFonts w:hint="eastAsia" w:ascii="方正仿宋_GB2312" w:hAnsi="方正仿宋_GB2312" w:eastAsia="方正仿宋_GB2312" w:cs="方正仿宋_GB2312"/>
          <w:sz w:val="28"/>
          <w:szCs w:val="28"/>
          <w:highlight w:val="none"/>
          <w:lang w:val="en-US" w:eastAsia="zh-CN"/>
        </w:rPr>
        <w:t>口</w:t>
      </w:r>
      <w:r>
        <w:rPr>
          <w:rFonts w:hint="eastAsia" w:ascii="方正仿宋_GB2312" w:hAnsi="方正仿宋_GB2312" w:eastAsia="方正仿宋_GB2312" w:cs="方正仿宋_GB2312"/>
          <w:sz w:val="28"/>
          <w:szCs w:val="28"/>
          <w:highlight w:val="none"/>
        </w:rPr>
        <w:t>农村产权交易服务平台（http</w:t>
      </w:r>
      <w:r>
        <w:rPr>
          <w:rFonts w:hint="eastAsia" w:ascii="方正仿宋_GB2312" w:hAnsi="方正仿宋_GB2312" w:eastAsia="方正仿宋_GB2312" w:cs="方正仿宋_GB2312"/>
          <w:sz w:val="28"/>
          <w:szCs w:val="28"/>
          <w:highlight w:val="none"/>
          <w:lang w:val="en-US" w:eastAsia="zh-CN"/>
        </w:rPr>
        <w:t>s</w:t>
      </w:r>
      <w:r>
        <w:rPr>
          <w:rFonts w:hint="eastAsia" w:ascii="方正仿宋_GB2312" w:hAnsi="方正仿宋_GB2312" w:eastAsia="方正仿宋_GB2312" w:cs="方正仿宋_GB2312"/>
          <w:sz w:val="28"/>
          <w:szCs w:val="28"/>
          <w:highlight w:val="none"/>
        </w:rPr>
        <w:t>://hai</w:t>
      </w:r>
      <w:r>
        <w:rPr>
          <w:rFonts w:hint="eastAsia" w:ascii="方正仿宋_GB2312" w:hAnsi="方正仿宋_GB2312" w:eastAsia="方正仿宋_GB2312" w:cs="方正仿宋_GB2312"/>
          <w:sz w:val="28"/>
          <w:szCs w:val="28"/>
          <w:highlight w:val="none"/>
          <w:lang w:val="en-US" w:eastAsia="zh-CN"/>
        </w:rPr>
        <w:t>kou</w:t>
      </w:r>
      <w:r>
        <w:rPr>
          <w:rFonts w:hint="eastAsia" w:ascii="方正仿宋_GB2312" w:hAnsi="方正仿宋_GB2312" w:eastAsia="方正仿宋_GB2312" w:cs="方正仿宋_GB2312"/>
          <w:sz w:val="28"/>
          <w:szCs w:val="28"/>
          <w:highlight w:val="none"/>
        </w:rPr>
        <w:t>.nongjiao.com，以下简称“平台”）进行</w:t>
      </w:r>
      <w:r>
        <w:rPr>
          <w:rFonts w:hint="eastAsia" w:ascii="方正仿宋_GB2312" w:hAnsi="方正仿宋_GB2312" w:eastAsia="方正仿宋_GB2312" w:cs="方正仿宋_GB2312"/>
          <w:sz w:val="28"/>
          <w:szCs w:val="28"/>
          <w:highlight w:val="none"/>
          <w:lang w:val="en-US" w:eastAsia="zh-CN"/>
        </w:rPr>
        <w:t>采购寻源</w:t>
      </w:r>
      <w:r>
        <w:rPr>
          <w:rFonts w:hint="eastAsia" w:ascii="方正仿宋_GB2312" w:hAnsi="方正仿宋_GB2312" w:eastAsia="方正仿宋_GB2312" w:cs="方正仿宋_GB2312"/>
          <w:sz w:val="28"/>
          <w:szCs w:val="28"/>
          <w:highlight w:val="none"/>
        </w:rPr>
        <w:t>，依据《</w:t>
      </w:r>
      <w:r>
        <w:rPr>
          <w:rFonts w:hint="eastAsia" w:ascii="方正仿宋_GB2312" w:hAnsi="方正仿宋_GB2312" w:eastAsia="方正仿宋_GB2312" w:cs="方正仿宋_GB2312"/>
          <w:sz w:val="28"/>
          <w:szCs w:val="28"/>
          <w:highlight w:val="none"/>
          <w:lang w:val="en-US" w:eastAsia="zh-CN"/>
        </w:rPr>
        <w:t>海南省</w:t>
      </w:r>
      <w:r>
        <w:rPr>
          <w:rFonts w:hint="eastAsia" w:ascii="方正仿宋_GB2312" w:hAnsi="方正仿宋_GB2312" w:eastAsia="方正仿宋_GB2312" w:cs="方正仿宋_GB2312"/>
          <w:sz w:val="28"/>
          <w:szCs w:val="28"/>
          <w:highlight w:val="none"/>
        </w:rPr>
        <w:t>农村产权流转交易管理办法</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试行</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》规定在平台挂牌交易，现将公示如下：</w:t>
      </w:r>
    </w:p>
    <w:p w14:paraId="29C132B3">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val="en-US" w:eastAsia="zh-CN"/>
        </w:rPr>
        <w:t>一、采购</w:t>
      </w:r>
      <w:r>
        <w:rPr>
          <w:rFonts w:hint="eastAsia" w:ascii="方正仿宋_GB2312" w:hAnsi="方正仿宋_GB2312" w:eastAsia="方正仿宋_GB2312" w:cs="方正仿宋_GB2312"/>
          <w:b/>
          <w:bCs/>
          <w:sz w:val="28"/>
          <w:szCs w:val="28"/>
        </w:rPr>
        <w:t>信息</w:t>
      </w:r>
    </w:p>
    <w:p w14:paraId="14DF204F">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项目</w:t>
      </w:r>
      <w:r>
        <w:rPr>
          <w:rFonts w:hint="eastAsia" w:ascii="方正仿宋_GB2312" w:hAnsi="方正仿宋_GB2312" w:eastAsia="方正仿宋_GB2312" w:cs="方正仿宋_GB2312"/>
          <w:sz w:val="28"/>
          <w:szCs w:val="28"/>
          <w:highlight w:val="none"/>
        </w:rPr>
        <w:t>名称：</w:t>
      </w:r>
      <w:r>
        <w:rPr>
          <w:rFonts w:hint="eastAsia" w:ascii="方正仿宋_GB2312" w:hAnsi="方正仿宋_GB2312" w:eastAsia="方正仿宋_GB2312" w:cs="方正仿宋_GB2312"/>
          <w:sz w:val="28"/>
          <w:szCs w:val="28"/>
          <w:highlight w:val="none"/>
          <w:lang w:val="en-US" w:eastAsia="zh-CN"/>
        </w:rPr>
        <w:t>道楠下村零星场地及道路硬化项目</w:t>
      </w:r>
    </w:p>
    <w:p w14:paraId="03411185">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采购方：海口市美兰区灵山镇大林村委会道楠下村民小组</w:t>
      </w:r>
    </w:p>
    <w:p w14:paraId="67CA68D8">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val="en-US" w:eastAsia="zh-CN"/>
        </w:rPr>
        <w:t>项目需求</w:t>
      </w:r>
      <w:r>
        <w:rPr>
          <w:rFonts w:hint="eastAsia" w:ascii="方正仿宋_GB2312" w:hAnsi="方正仿宋_GB2312" w:eastAsia="方正仿宋_GB2312" w:cs="方正仿宋_GB2312"/>
          <w:sz w:val="28"/>
          <w:szCs w:val="28"/>
          <w:highlight w:val="none"/>
          <w:lang w:eastAsia="zh-CN"/>
        </w:rPr>
        <w:t>：</w:t>
      </w:r>
    </w:p>
    <w:p w14:paraId="2590AEF7">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1</w:t>
      </w:r>
      <w:r>
        <w:rPr>
          <w:rFonts w:hint="eastAsia" w:ascii="方正仿宋_GB2312" w:hAnsi="方正仿宋_GB2312" w:eastAsia="方正仿宋_GB2312" w:cs="方正仿宋_GB2312"/>
          <w:sz w:val="28"/>
          <w:szCs w:val="28"/>
          <w:highlight w:val="none"/>
          <w:lang w:val="en-US" w:eastAsia="zh-CN"/>
        </w:rPr>
        <w:t>.</w:t>
      </w:r>
      <w:r>
        <w:rPr>
          <w:rFonts w:hint="eastAsia" w:ascii="方正仿宋_GB2312" w:hAnsi="方正仿宋_GB2312" w:eastAsia="方正仿宋_GB2312" w:cs="方正仿宋_GB2312"/>
          <w:sz w:val="28"/>
          <w:szCs w:val="28"/>
          <w:highlight w:val="none"/>
          <w:lang w:eastAsia="zh-CN"/>
        </w:rPr>
        <w:t>项目时间紧，中标单位在中标后3个工作日完成方案交底。</w:t>
      </w:r>
    </w:p>
    <w:p w14:paraId="1D5FED86">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2.工程所用材料应符合国家现行标准。工程质量应达到合格标准，</w:t>
      </w:r>
    </w:p>
    <w:p w14:paraId="27A730C1">
      <w:pPr>
        <w:spacing w:line="480" w:lineRule="exact"/>
        <w:ind w:firstLine="560" w:firstLineChars="200"/>
        <w:jc w:val="both"/>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lang w:eastAsia="zh-CN"/>
        </w:rPr>
        <w:t>验收不合格的须返工整改，返工费用由中标方承担。</w:t>
      </w:r>
    </w:p>
    <w:p w14:paraId="76CEE92A">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p>
    <w:p w14:paraId="24C6B99A">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挂牌上限价格：30000元（总价）</w:t>
      </w:r>
    </w:p>
    <w:p w14:paraId="777337FE">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报名保证金 ： /</w:t>
      </w:r>
    </w:p>
    <w:p w14:paraId="0E120B34">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交付期限：2026年10月30日</w:t>
      </w:r>
    </w:p>
    <w:p w14:paraId="759A6D0D">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报名时间：2026-10-14 17:00:00</w:t>
      </w:r>
      <w:r>
        <w:rPr>
          <w:rFonts w:hint="eastAsia" w:ascii="方正仿宋_GB2312" w:hAnsi="方正仿宋_GB2312" w:eastAsia="方正仿宋_GB2312" w:cs="方正仿宋_GB2312"/>
          <w:sz w:val="28"/>
          <w:szCs w:val="28"/>
          <w:highlight w:val="none"/>
          <w:lang w:val="en-US" w:eastAsia="zh-CN"/>
        </w:rPr>
        <w:t>至2026-10-21 17:00:00</w:t>
      </w:r>
    </w:p>
    <w:p w14:paraId="53A2FB9D">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竞价时间：2026-10-22 09:00:00至2026-10-22 1</w:t>
      </w:r>
      <w:r>
        <w:rPr>
          <w:rFonts w:hint="eastAsia" w:ascii="方正仿宋_GB2312" w:hAnsi="方正仿宋_GB2312" w:eastAsia="方正仿宋_GB2312" w:cs="方正仿宋_GB2312"/>
          <w:sz w:val="28"/>
          <w:szCs w:val="28"/>
          <w:highlight w:val="none"/>
          <w:lang w:val="en-US" w:eastAsia="zh-CN"/>
        </w:rPr>
        <w:t>0</w:t>
      </w:r>
      <w:r>
        <w:rPr>
          <w:rFonts w:hint="eastAsia" w:ascii="方正仿宋_GB2312" w:hAnsi="方正仿宋_GB2312" w:eastAsia="方正仿宋_GB2312" w:cs="方正仿宋_GB2312"/>
          <w:sz w:val="28"/>
          <w:szCs w:val="28"/>
          <w:highlight w:val="none"/>
        </w:rPr>
        <w:t>:00:00</w:t>
      </w:r>
    </w:p>
    <w:p w14:paraId="060074FC">
      <w:pPr>
        <w:spacing w:line="480" w:lineRule="exact"/>
        <w:ind w:firstLine="560" w:firstLineChars="200"/>
        <w:jc w:val="both"/>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w:t>
      </w:r>
    </w:p>
    <w:p w14:paraId="5753A601">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r>
        <w:rPr>
          <w:rFonts w:hint="eastAsia" w:ascii="方正仿宋_GB2312" w:hAnsi="方正仿宋_GB2312" w:eastAsia="方正仿宋_GB2312" w:cs="方正仿宋_GB2312"/>
          <w:sz w:val="28"/>
          <w:szCs w:val="28"/>
          <w:highlight w:val="none"/>
          <w:lang w:val="en-US" w:eastAsia="zh-CN"/>
        </w:rPr>
        <w:t xml:space="preserve"> </w:t>
      </w:r>
    </w:p>
    <w:p w14:paraId="4287C2B0">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BB5498-C321-4365-9FE3-314461CF62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2" w:fontKey="{4680E563-49B1-4350-8A0D-83E85D06E7C9}"/>
  </w:font>
  <w:font w:name="方正仿宋_GB2312">
    <w:panose1 w:val="02000000000000000000"/>
    <w:charset w:val="86"/>
    <w:family w:val="auto"/>
    <w:pitch w:val="default"/>
    <w:sig w:usb0="A00002BF" w:usb1="184F6CFA" w:usb2="00000012" w:usb3="00000000" w:csb0="00040001" w:csb1="00000000"/>
    <w:embedRegular r:id="rId3" w:fontKey="{459972AA-80BE-4685-9517-E7A7786C8FB9}"/>
  </w:font>
  <w:font w:name="仿宋">
    <w:panose1 w:val="02010609060101010101"/>
    <w:charset w:val="86"/>
    <w:family w:val="modern"/>
    <w:pitch w:val="default"/>
    <w:sig w:usb0="800002BF" w:usb1="38CF7CFA" w:usb2="00000016" w:usb3="00000000" w:csb0="00040001" w:csb1="00000000"/>
    <w:embedRegular r:id="rId4" w:fontKey="{F88813EC-E93B-4791-827D-4463CB1F52AD}"/>
  </w:font>
  <w:font w:name="WPSEMBED3">
    <w:panose1 w:val="02000000000000000000"/>
    <w:charset w:val="86"/>
    <w:family w:val="auto"/>
    <w:pitch w:val="default"/>
    <w:sig w:usb0="00000001" w:usb1="08000000" w:usb2="00000000" w:usb3="00000000" w:csb0="00040000" w:csb1="00000000"/>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3A03FFE1"/>
    <w:multiLevelType w:val="singleLevel"/>
    <w:tmpl w:val="3A03FFE1"/>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BC02080"/>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8730A5D"/>
    <w:rsid w:val="28E76B6C"/>
    <w:rsid w:val="29B41C95"/>
    <w:rsid w:val="2C765212"/>
    <w:rsid w:val="2DC33823"/>
    <w:rsid w:val="2F1E2EE5"/>
    <w:rsid w:val="30A94C4C"/>
    <w:rsid w:val="30B56AE1"/>
    <w:rsid w:val="327E6635"/>
    <w:rsid w:val="33FC039C"/>
    <w:rsid w:val="3516702D"/>
    <w:rsid w:val="356B5D48"/>
    <w:rsid w:val="36FB2F8C"/>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02508A"/>
    <w:rsid w:val="4AA644D8"/>
    <w:rsid w:val="4B6D611F"/>
    <w:rsid w:val="4C122427"/>
    <w:rsid w:val="4D440E1C"/>
    <w:rsid w:val="4DC33073"/>
    <w:rsid w:val="4E3F7559"/>
    <w:rsid w:val="4ECE0172"/>
    <w:rsid w:val="51516E47"/>
    <w:rsid w:val="52A65D7B"/>
    <w:rsid w:val="54CD76AA"/>
    <w:rsid w:val="57B909E0"/>
    <w:rsid w:val="5B4919FD"/>
    <w:rsid w:val="5CF93C67"/>
    <w:rsid w:val="5DB838D9"/>
    <w:rsid w:val="5EBF25D8"/>
    <w:rsid w:val="62FD759A"/>
    <w:rsid w:val="64515E2E"/>
    <w:rsid w:val="64D61FAB"/>
    <w:rsid w:val="6654149E"/>
    <w:rsid w:val="675A247D"/>
    <w:rsid w:val="688D2CA3"/>
    <w:rsid w:val="6A3419CA"/>
    <w:rsid w:val="6B4D3E0A"/>
    <w:rsid w:val="6CD27A16"/>
    <w:rsid w:val="6CFD1D8F"/>
    <w:rsid w:val="6E1F4351"/>
    <w:rsid w:val="6E6E3223"/>
    <w:rsid w:val="71614610"/>
    <w:rsid w:val="72EA1BF9"/>
    <w:rsid w:val="73E8666D"/>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6834</Words>
  <Characters>7232</Characters>
  <Lines>59</Lines>
  <Paragraphs>16</Paragraphs>
  <TotalTime>0</TotalTime>
  <ScaleCrop>false</ScaleCrop>
  <LinksUpToDate>false</LinksUpToDate>
  <CharactersWithSpaces>7751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ignorer</cp:lastModifiedBy>
  <cp:lastPrinted>2025-03-28T03:19:00Z</cp:lastPrinted>
  <dcterms:modified xsi:type="dcterms:W3CDTF">2026-10-14T09:36:32Z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E7D6A742E3E740BDA66C4091D940BF78_13</vt:lpwstr>
  </property>
  <property fmtid="{D5CDD505-2E9C-101B-9397-08002B2CF9AE}" pid="4" name="KSOTemplateDocerSaveRecord">
    <vt:lpwstr>eyJoZGlkIjoiNDA0NTdmN2I3MDQ1YTcwOTg0ZjcwYWU2M2I1ODNlN2YiLCJ1c2VySWQiOiI5MTI4MTQzNjYifQ==</vt:lpwstr>
  </property>
</Properties>
</file>