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7068B">
      <w:pPr>
        <w:pStyle w:val="3"/>
        <w:spacing w:line="240" w:lineRule="auto"/>
        <w:rPr>
          <w:rFonts w:ascii="黑体" w:hAnsi="黑体"/>
          <w:color w:val="000000"/>
        </w:rPr>
      </w:pPr>
      <w:bookmarkStart w:id="0" w:name="_Toc15737"/>
      <w:bookmarkStart w:id="1" w:name="_Toc21762"/>
      <w:bookmarkStart w:id="2" w:name="_Toc11918"/>
      <w:bookmarkStart w:id="3" w:name="_Toc32320"/>
      <w:bookmarkStart w:id="4" w:name="_Toc20910"/>
      <w:bookmarkStart w:id="5" w:name="_Toc24454"/>
      <w:bookmarkStart w:id="6" w:name="_Toc21422"/>
      <w:bookmarkStart w:id="7" w:name="_Toc29002"/>
      <w:bookmarkStart w:id="8" w:name="_Toc12789"/>
      <w:bookmarkStart w:id="9" w:name="_Toc7615"/>
      <w:bookmarkStart w:id="10" w:name="_Toc8396"/>
      <w:bookmarkStart w:id="11" w:name="_Toc13462"/>
      <w:bookmarkStart w:id="12" w:name="_Toc20033"/>
      <w:bookmarkStart w:id="13" w:name="_Toc25712"/>
      <w:bookmarkStart w:id="14" w:name="_Toc24068"/>
      <w:bookmarkStart w:id="15" w:name="_Toc24727"/>
      <w:r>
        <w:rPr>
          <w:rFonts w:hint="eastAsia" w:ascii="黑体" w:hAnsi="黑体"/>
          <w:color w:val="000000"/>
        </w:rPr>
        <w:t>网络竞价须知</w:t>
      </w:r>
      <w:bookmarkEnd w:id="0"/>
      <w:bookmarkEnd w:id="1"/>
      <w:bookmarkEnd w:id="2"/>
      <w:bookmarkEnd w:id="3"/>
      <w:bookmarkEnd w:id="4"/>
      <w:bookmarkEnd w:id="5"/>
      <w:bookmarkEnd w:id="6"/>
    </w:p>
    <w:p w14:paraId="5B3AB3E4">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lang w:val="en-US" w:eastAsia="zh-CN"/>
        </w:rPr>
        <w:t>昌江县石碌镇东风路38号（面向铁城路）60㎡匹克商铺出租</w:t>
      </w:r>
      <w:r>
        <w:rPr>
          <w:rFonts w:hint="eastAsia" w:ascii="新宋体" w:hAnsi="新宋体" w:eastAsia="新宋体"/>
          <w:b/>
          <w:bCs/>
          <w:color w:val="000000" w:themeColor="text1"/>
          <w:sz w:val="28"/>
          <w:szCs w:val="28"/>
          <w:lang w:val="en-US" w:eastAsia="zh-CN"/>
          <w14:textFill>
            <w14:solidFill>
              <w14:schemeClr w14:val="tx1"/>
            </w14:solidFill>
          </w14:textFill>
        </w:rPr>
        <w:t>项目</w:t>
      </w:r>
      <w:r>
        <w:rPr>
          <w:rFonts w:hint="eastAsia" w:ascii="新宋体" w:hAnsi="新宋体" w:eastAsia="新宋体"/>
          <w:sz w:val="28"/>
          <w:szCs w:val="28"/>
        </w:rPr>
        <w:t>《网络竞价须知》（以下简称《须知》），依据《</w:t>
      </w:r>
      <w:r>
        <w:rPr>
          <w:rFonts w:hint="eastAsia" w:ascii="新宋体" w:hAnsi="新宋体" w:eastAsia="新宋体" w:cs="新宋体"/>
          <w:color w:val="auto"/>
          <w:sz w:val="28"/>
          <w:szCs w:val="28"/>
          <w:highlight w:val="none"/>
        </w:rPr>
        <w:fldChar w:fldCharType="begin"/>
      </w:r>
      <w:r>
        <w:rPr>
          <w:rFonts w:hint="eastAsia" w:ascii="新宋体" w:hAnsi="新宋体" w:eastAsia="新宋体" w:cs="新宋体"/>
          <w:sz w:val="28"/>
          <w:szCs w:val="28"/>
          <w:highlight w:val="none"/>
        </w:rPr>
        <w:instrText xml:space="preserve"> HYPERLINK \l _Toc17598 </w:instrText>
      </w:r>
      <w:r>
        <w:rPr>
          <w:rFonts w:hint="eastAsia" w:ascii="新宋体" w:hAnsi="新宋体" w:eastAsia="新宋体" w:cs="新宋体"/>
          <w:sz w:val="28"/>
          <w:szCs w:val="28"/>
          <w:highlight w:val="none"/>
        </w:rPr>
        <w:fldChar w:fldCharType="separate"/>
      </w:r>
      <w:r>
        <w:rPr>
          <w:rFonts w:hint="eastAsia" w:ascii="新宋体" w:hAnsi="新宋体" w:eastAsia="新宋体" w:cs="新宋体"/>
          <w:kern w:val="0"/>
          <w:sz w:val="28"/>
          <w:szCs w:val="28"/>
          <w:highlight w:val="none"/>
          <w:lang w:val="en-US" w:eastAsia="zh-CN"/>
        </w:rPr>
        <w:t>昌江农村产权交易中心</w:t>
      </w:r>
      <w:r>
        <w:rPr>
          <w:rFonts w:hint="eastAsia" w:ascii="新宋体" w:hAnsi="新宋体" w:eastAsia="新宋体" w:cs="新宋体"/>
          <w:kern w:val="0"/>
          <w:sz w:val="28"/>
          <w:szCs w:val="28"/>
          <w:highlight w:val="none"/>
        </w:rPr>
        <w:t>农村产权交易规则（试行）</w:t>
      </w:r>
      <w:r>
        <w:rPr>
          <w:rFonts w:hint="eastAsia" w:ascii="新宋体" w:hAnsi="新宋体" w:eastAsia="新宋体" w:cs="新宋体"/>
          <w:color w:val="auto"/>
          <w:sz w:val="28"/>
          <w:szCs w:val="28"/>
          <w:highlight w:val="none"/>
        </w:rPr>
        <w:fldChar w:fldCharType="end"/>
      </w:r>
      <w:r>
        <w:rPr>
          <w:rFonts w:hint="eastAsia" w:ascii="新宋体" w:hAnsi="新宋体" w:eastAsia="新宋体"/>
          <w:sz w:val="28"/>
          <w:szCs w:val="28"/>
        </w:rPr>
        <w:t>》、《</w:t>
      </w:r>
      <w:r>
        <w:rPr>
          <w:rFonts w:hint="eastAsia" w:ascii="新宋体" w:hAnsi="新宋体" w:eastAsia="新宋体" w:cs="新宋体"/>
          <w:bCs w:val="0"/>
          <w:kern w:val="0"/>
          <w:sz w:val="28"/>
          <w:szCs w:val="28"/>
          <w:highlight w:val="none"/>
          <w:lang w:val="en-US" w:eastAsia="zh-CN"/>
        </w:rPr>
        <w:t>昌江农村产权交易中心</w:t>
      </w:r>
      <w:r>
        <w:rPr>
          <w:rFonts w:hint="eastAsia" w:ascii="新宋体" w:hAnsi="新宋体" w:eastAsia="新宋体" w:cs="新宋体"/>
          <w:bCs w:val="0"/>
          <w:kern w:val="0"/>
          <w:sz w:val="28"/>
          <w:szCs w:val="28"/>
          <w:highlight w:val="none"/>
        </w:rPr>
        <w:t>网络竞价实施办法（试行）</w:t>
      </w:r>
      <w:r>
        <w:rPr>
          <w:rFonts w:hint="eastAsia" w:ascii="新宋体" w:hAnsi="新宋体" w:eastAsia="新宋体"/>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昌江农村产权交易中心(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w:t>
      </w:r>
      <w:r>
        <w:rPr>
          <w:rFonts w:hint="eastAsia" w:ascii="新宋体" w:hAnsi="新宋体" w:eastAsia="新宋体" w:cs="Times New Roman"/>
          <w:sz w:val="28"/>
          <w:szCs w:val="28"/>
          <w:lang w:val="en-US" w:eastAsia="zh-CN"/>
        </w:rPr>
        <w:t>出租</w:t>
      </w:r>
      <w:r>
        <w:rPr>
          <w:rFonts w:hint="eastAsia" w:ascii="新宋体" w:hAnsi="新宋体" w:eastAsia="新宋体" w:cs="Times New Roman"/>
          <w:sz w:val="28"/>
          <w:szCs w:val="28"/>
        </w:rPr>
        <w:t>（转让）方提供，竞买申请方在提交竞买报名之前，应对所竞买的项目标的有关情况及瑕疵已做了全面的了解，竞买方如对交易须知、交易规则、交易公告等交易文件有疑问的，可向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47DB85A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有关交易规则和交易须知。</w:t>
      </w:r>
    </w:p>
    <w:p w14:paraId="2E260CF6">
      <w:pPr>
        <w:numPr>
          <w:ilvl w:val="0"/>
          <w:numId w:val="1"/>
        </w:numPr>
        <w:spacing w:line="520" w:lineRule="exact"/>
        <w:rPr>
          <w:b/>
          <w:bCs/>
          <w:color w:val="000000" w:themeColor="text1"/>
          <w14:textFill>
            <w14:solidFill>
              <w14:schemeClr w14:val="tx1"/>
            </w14:solidFill>
          </w14:textFill>
        </w:rPr>
      </w:pPr>
      <w:r>
        <w:rPr>
          <w:rFonts w:hint="eastAsia" w:ascii="新宋体" w:hAnsi="新宋体" w:eastAsia="新宋体" w:cs="Times New Roman"/>
          <w:b/>
          <w:bCs/>
          <w:color w:val="000000" w:themeColor="text1"/>
          <w:sz w:val="28"/>
          <w:szCs w:val="28"/>
          <w14:textFill>
            <w14:solidFill>
              <w14:schemeClr w14:val="tx1"/>
            </w14:solidFill>
          </w14:textFill>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29日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w:t>
      </w:r>
      <w:r>
        <w:rPr>
          <w:rFonts w:hint="eastAsia" w:ascii="新宋体" w:hAnsi="新宋体" w:eastAsia="新宋体" w:cs="Times New Roman"/>
          <w:b/>
          <w:bCs/>
          <w:color w:val="000000" w:themeColor="text1"/>
          <w:sz w:val="28"/>
          <w:szCs w:val="28"/>
          <w14:textFill>
            <w14:solidFill>
              <w14:schemeClr w14:val="tx1"/>
            </w14:solidFill>
          </w14:textFill>
        </w:rPr>
        <w:t>签署并向</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提交本次网络竞价《网络竞价须知》《网络竞价承诺函》等竞价文件后，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审核通过后，交纳交易保证金</w:t>
      </w:r>
      <w:r>
        <w:rPr>
          <w:rFonts w:hint="eastAsia" w:ascii="新宋体" w:hAnsi="新宋体" w:eastAsia="新宋体" w:cs="Times New Roman"/>
          <w:b/>
          <w:bCs/>
          <w:color w:val="C00000"/>
          <w:sz w:val="28"/>
          <w:szCs w:val="28"/>
        </w:rPr>
        <w:t>（</w:t>
      </w:r>
      <w:r>
        <w:rPr>
          <w:rFonts w:hint="eastAsia" w:ascii="新宋体" w:hAnsi="新宋体" w:eastAsia="新宋体" w:cs="Times New Roman"/>
          <w:b/>
          <w:bCs/>
          <w:color w:val="C00000"/>
          <w:sz w:val="28"/>
          <w:szCs w:val="28"/>
          <w:lang w:val="en-US" w:eastAsia="zh-CN"/>
        </w:rPr>
        <w:t>4800元</w:t>
      </w:r>
      <w:r>
        <w:rPr>
          <w:rFonts w:hint="eastAsia" w:ascii="新宋体" w:hAnsi="新宋体" w:eastAsia="新宋体" w:cs="Times New Roman"/>
          <w:b/>
          <w:bCs/>
          <w:sz w:val="28"/>
          <w:szCs w:val="28"/>
        </w:rPr>
        <w:t>），</w:t>
      </w:r>
      <w:r>
        <w:rPr>
          <w:rFonts w:hint="eastAsia" w:ascii="新宋体" w:hAnsi="新宋体" w:eastAsia="新宋体" w:cs="Times New Roman"/>
          <w:b/>
          <w:bCs/>
          <w:color w:val="000000" w:themeColor="text1"/>
          <w:sz w:val="28"/>
          <w:szCs w:val="28"/>
          <w14:textFill>
            <w14:solidFill>
              <w14:schemeClr w14:val="tx1"/>
            </w14:solidFill>
          </w14:textFill>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662"/>
      </w:tblGrid>
      <w:tr w14:paraId="1722805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海南</w:t>
            </w:r>
            <w:r>
              <w:rPr>
                <w:rFonts w:hint="eastAsia" w:ascii="仿宋_GB2312" w:hAnsi="仿宋_GB2312" w:eastAsia="仿宋_GB2312" w:cs="仿宋_GB2312"/>
                <w:b/>
                <w:bCs/>
                <w:sz w:val="28"/>
                <w:szCs w:val="28"/>
              </w:rPr>
              <w:t>农商银行昌江支行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hint="default" w:ascii="仿宋_GB2312" w:hAnsi="仿宋_GB2312" w:eastAsia="仿宋_GB2312" w:cs="仿宋_GB2312"/>
                <w:b/>
                <w:bCs/>
                <w:sz w:val="28"/>
                <w:szCs w:val="28"/>
                <w:lang w:val="en-US" w:eastAsia="zh-CN"/>
              </w:rPr>
            </w:pPr>
            <w:r>
              <w:rPr>
                <w:rFonts w:ascii="微软雅黑" w:hAnsi="微软雅黑" w:eastAsia="微软雅黑" w:cs="微软雅黑"/>
                <w:i w:val="0"/>
                <w:iCs w:val="0"/>
                <w:caps w:val="0"/>
                <w:color w:val="000000"/>
                <w:spacing w:val="0"/>
                <w:sz w:val="28"/>
                <w:szCs w:val="28"/>
              </w:rPr>
              <w:t>1022324700000281</w:t>
            </w:r>
          </w:p>
        </w:tc>
      </w:tr>
    </w:tbl>
    <w:p w14:paraId="62FA12F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提出更新申请，否则由此引起的经济及法律责任均由竞买方自行承担。</w:t>
      </w:r>
    </w:p>
    <w:p w14:paraId="6B463B7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751E5445">
      <w:pPr>
        <w:spacing w:line="520" w:lineRule="exact"/>
        <w:ind w:firstLine="562" w:firstLineChars="200"/>
        <w:jc w:val="left"/>
        <w:rPr>
          <w:rFonts w:hint="eastAsia" w:ascii="新宋体" w:hAnsi="新宋体" w:eastAsia="新宋体" w:cs="Times New Roman"/>
          <w:b/>
          <w:bCs/>
          <w:sz w:val="28"/>
          <w:szCs w:val="28"/>
          <w:lang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78"/>
        <w:gridCol w:w="2603"/>
        <w:gridCol w:w="2841"/>
      </w:tblGrid>
      <w:tr w14:paraId="5C24E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78" w:type="dxa"/>
          </w:tcPr>
          <w:p w14:paraId="7B4B4D96">
            <w:pPr>
              <w:jc w:val="left"/>
              <w:outlineLvl w:val="0"/>
              <w:rPr>
                <w:rFonts w:hint="default" w:ascii="新宋体" w:hAnsi="新宋体" w:eastAsia="新宋体"/>
                <w:b w:val="0"/>
                <w:bCs w:val="0"/>
                <w:color w:val="000000" w:themeColor="text1"/>
                <w:sz w:val="28"/>
                <w:szCs w:val="28"/>
                <w:lang w:val="en-US" w:eastAsia="zh-CN"/>
                <w14:textFill>
                  <w14:solidFill>
                    <w14:schemeClr w14:val="tx1"/>
                  </w14:solidFill>
                </w14:textFill>
              </w:rPr>
            </w:pPr>
            <w:r>
              <w:rPr>
                <w:rFonts w:hint="eastAsia" w:ascii="新宋体" w:hAnsi="新宋体" w:eastAsia="新宋体"/>
                <w:b/>
                <w:bCs/>
                <w:color w:val="C00000"/>
                <w:sz w:val="28"/>
                <w:szCs w:val="28"/>
                <w:lang w:val="en-US" w:eastAsia="zh-CN"/>
              </w:rPr>
              <w:t>昌江县石碌镇东风路38号（面向铁城路）60㎡匹克商铺出租</w:t>
            </w:r>
          </w:p>
        </w:tc>
        <w:tc>
          <w:tcPr>
            <w:tcW w:w="2603" w:type="dxa"/>
            <w:vAlign w:val="top"/>
          </w:tcPr>
          <w:p w14:paraId="1D86C4BF">
            <w:pPr>
              <w:numPr>
                <w:ilvl w:val="0"/>
                <w:numId w:val="0"/>
              </w:numPr>
              <w:spacing w:line="240" w:lineRule="auto"/>
              <w:ind w:leftChars="0"/>
              <w:jc w:val="both"/>
              <w:rPr>
                <w:rFonts w:hint="eastAsia" w:ascii="新宋体" w:hAnsi="新宋体" w:eastAsia="新宋体"/>
                <w:b w:val="0"/>
                <w:bCs w:val="0"/>
                <w:color w:val="000000" w:themeColor="text1"/>
                <w:sz w:val="28"/>
                <w:szCs w:val="28"/>
                <w:lang w:val="en-US" w:eastAsia="zh-CN"/>
                <w14:textFill>
                  <w14:solidFill>
                    <w14:schemeClr w14:val="tx1"/>
                  </w14:solidFill>
                </w14:textFill>
              </w:rPr>
            </w:pPr>
          </w:p>
          <w:p w14:paraId="47CFF2F1">
            <w:pPr>
              <w:numPr>
                <w:ilvl w:val="0"/>
                <w:numId w:val="0"/>
              </w:numPr>
              <w:spacing w:line="240" w:lineRule="auto"/>
              <w:ind w:leftChars="0"/>
              <w:jc w:val="center"/>
              <w:rPr>
                <w:rFonts w:hint="default" w:ascii="新宋体" w:hAnsi="新宋体" w:eastAsia="新宋体"/>
                <w:b w:val="0"/>
                <w:bCs w:val="0"/>
                <w:color w:val="000000" w:themeColor="text1"/>
                <w:sz w:val="28"/>
                <w:szCs w:val="28"/>
                <w:lang w:val="en-US" w:eastAsia="zh-CN"/>
                <w14:textFill>
                  <w14:solidFill>
                    <w14:schemeClr w14:val="tx1"/>
                  </w14:solidFill>
                </w14:textFill>
              </w:rPr>
            </w:pPr>
            <w:r>
              <w:rPr>
                <w:rFonts w:hint="eastAsia" w:ascii="新宋体" w:hAnsi="新宋体" w:eastAsia="新宋体"/>
                <w:b w:val="0"/>
                <w:bCs w:val="0"/>
                <w:color w:val="000000" w:themeColor="text1"/>
                <w:sz w:val="28"/>
                <w:szCs w:val="28"/>
                <w:lang w:val="en-US" w:eastAsia="zh-CN"/>
                <w14:textFill>
                  <w14:solidFill>
                    <w14:schemeClr w14:val="tx1"/>
                  </w14:solidFill>
                </w14:textFill>
              </w:rPr>
              <w:t>3年</w:t>
            </w:r>
          </w:p>
        </w:tc>
        <w:tc>
          <w:tcPr>
            <w:tcW w:w="2841" w:type="dxa"/>
            <w:vAlign w:val="top"/>
          </w:tcPr>
          <w:p w14:paraId="7F01D475">
            <w:pPr>
              <w:numPr>
                <w:ilvl w:val="0"/>
                <w:numId w:val="0"/>
              </w:numPr>
              <w:spacing w:line="240" w:lineRule="auto"/>
              <w:ind w:leftChars="0"/>
              <w:jc w:val="both"/>
              <w:rPr>
                <w:rFonts w:hint="eastAsia" w:ascii="新宋体" w:hAnsi="新宋体" w:eastAsia="新宋体"/>
                <w:b w:val="0"/>
                <w:bCs w:val="0"/>
                <w:color w:val="000000" w:themeColor="text1"/>
                <w:sz w:val="28"/>
                <w:szCs w:val="28"/>
                <w:lang w:val="en-US" w:eastAsia="zh-CN"/>
                <w14:textFill>
                  <w14:solidFill>
                    <w14:schemeClr w14:val="tx1"/>
                  </w14:solidFill>
                </w14:textFill>
              </w:rPr>
            </w:pPr>
          </w:p>
          <w:p w14:paraId="1ED50537">
            <w:pPr>
              <w:numPr>
                <w:ilvl w:val="0"/>
                <w:numId w:val="0"/>
              </w:numPr>
              <w:spacing w:line="240" w:lineRule="auto"/>
              <w:ind w:leftChars="0"/>
              <w:jc w:val="center"/>
              <w:rPr>
                <w:rFonts w:hint="default" w:ascii="新宋体" w:hAnsi="新宋体" w:eastAsia="新宋体" w:cs="Times New Roman"/>
                <w:b/>
                <w:bCs/>
                <w:sz w:val="28"/>
                <w:szCs w:val="28"/>
                <w:vertAlign w:val="baseline"/>
                <w:lang w:val="en-US" w:eastAsia="zh-CN"/>
              </w:rPr>
            </w:pPr>
            <w:r>
              <w:rPr>
                <w:rFonts w:hint="eastAsia" w:ascii="新宋体" w:hAnsi="新宋体" w:eastAsia="新宋体"/>
                <w:b w:val="0"/>
                <w:bCs w:val="0"/>
                <w:color w:val="000000" w:themeColor="text1"/>
                <w:sz w:val="28"/>
                <w:szCs w:val="28"/>
                <w:lang w:val="en-US" w:eastAsia="zh-CN"/>
                <w14:textFill>
                  <w14:solidFill>
                    <w14:schemeClr w14:val="tx1"/>
                  </w14:solidFill>
                </w14:textFill>
              </w:rPr>
              <w:t>20400</w:t>
            </w:r>
            <w:r>
              <w:rPr>
                <w:rFonts w:hint="default" w:ascii="新宋体" w:hAnsi="新宋体" w:eastAsia="新宋体"/>
                <w:b w:val="0"/>
                <w:bCs w:val="0"/>
                <w:color w:val="000000" w:themeColor="text1"/>
                <w:sz w:val="28"/>
                <w:szCs w:val="28"/>
                <w:lang w:val="en-US" w:eastAsia="zh-CN"/>
                <w14:textFill>
                  <w14:solidFill>
                    <w14:schemeClr w14:val="tx1"/>
                  </w14:solidFill>
                </w14:textFill>
              </w:rPr>
              <w:t>元/年</w:t>
            </w:r>
          </w:p>
        </w:tc>
      </w:tr>
    </w:tbl>
    <w:p w14:paraId="2BCC818B">
      <w:pPr>
        <w:spacing w:line="240" w:lineRule="auto"/>
        <w:ind w:firstLine="562" w:firstLineChars="200"/>
        <w:jc w:val="left"/>
        <w:rPr>
          <w:rFonts w:hint="default" w:ascii="新宋体" w:hAnsi="新宋体" w:eastAsia="新宋体" w:cs="Times New Roman"/>
          <w:b/>
          <w:bCs/>
          <w:sz w:val="28"/>
          <w:szCs w:val="28"/>
          <w:lang w:val="en-US" w:eastAsia="zh-CN"/>
        </w:rPr>
      </w:pPr>
    </w:p>
    <w:p w14:paraId="760DF9A5">
      <w:pPr>
        <w:pStyle w:val="4"/>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（转让）方确定的交易条件，通过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78BF1BB1">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sz w:val="28"/>
          <w:szCs w:val="28"/>
        </w:rPr>
        <w:t>元的整数倍（至少</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sz w:val="28"/>
          <w:szCs w:val="28"/>
        </w:rPr>
        <w:t>元）。</w:t>
      </w:r>
    </w:p>
    <w:p w14:paraId="66DBDF05">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lang w:eastAsia="zh-CN"/>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10-30日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13、因竞买方如下行为产生的一切后果，</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当即与</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（转让）方协商后续方案，并将结果及时通知各竞买方，</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将按照</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（转让）方要求的时间和方式继续竞价或重新竞价，</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通知各竞买方。</w:t>
      </w:r>
    </w:p>
    <w:p w14:paraId="0FB834E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可以根据相关约定重新组织实施竞价或再次发布转让信息公告。</w:t>
      </w:r>
    </w:p>
    <w:p w14:paraId="63C0E13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2CA4078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（转让）方的身份参与竞价交易活动的。</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w:t>
      </w:r>
      <w:r>
        <w:rPr>
          <w:rFonts w:hint="eastAsia" w:ascii="新宋体" w:hAnsi="新宋体" w:eastAsia="新宋体" w:cs="Times New Roman"/>
          <w:b/>
          <w:bCs/>
          <w:sz w:val="28"/>
          <w:szCs w:val="28"/>
          <w:lang w:val="en-US" w:eastAsia="zh-CN"/>
        </w:rPr>
        <w:t>10</w:t>
      </w:r>
      <w:r>
        <w:rPr>
          <w:rFonts w:hint="eastAsia" w:ascii="新宋体" w:hAnsi="新宋体" w:eastAsia="新宋体" w:cs="Times New Roman"/>
          <w:b/>
          <w:bCs/>
          <w:sz w:val="28"/>
          <w:szCs w:val="28"/>
        </w:rPr>
        <w:t>个工作日内（或按公告要求的时限）签订交易合同，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lang w:val="en-US" w:eastAsia="zh-CN"/>
        </w:rPr>
        <w:t>签订标的竞得书》</w:t>
      </w:r>
      <w:r>
        <w:rPr>
          <w:rFonts w:hint="eastAsia" w:ascii="新宋体" w:hAnsi="新宋体" w:eastAsia="新宋体" w:cs="Times New Roman"/>
          <w:b/>
          <w:bCs/>
          <w:sz w:val="28"/>
          <w:szCs w:val="28"/>
        </w:rPr>
        <w:t>的</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w:t>
      </w:r>
      <w:r>
        <w:rPr>
          <w:rFonts w:hint="eastAsia" w:ascii="新宋体" w:hAnsi="新宋体" w:eastAsia="新宋体" w:cs="Times New Roman"/>
          <w:b/>
          <w:bCs/>
          <w:color w:val="C00000"/>
          <w:sz w:val="28"/>
          <w:szCs w:val="28"/>
          <w:lang w:val="en-US" w:eastAsia="zh-CN"/>
        </w:rPr>
        <w:t>2</w:t>
      </w:r>
      <w:r>
        <w:rPr>
          <w:rFonts w:hint="eastAsia" w:ascii="新宋体" w:hAnsi="新宋体" w:eastAsia="新宋体" w:cs="Times New Roman"/>
          <w:b/>
          <w:bCs/>
          <w:color w:val="C00000"/>
          <w:sz w:val="28"/>
          <w:szCs w:val="28"/>
        </w:rPr>
        <w:t>、服务费收费标准：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海南</w:t>
            </w:r>
            <w:r>
              <w:rPr>
                <w:rFonts w:hint="eastAsia" w:ascii="仿宋_GB2312" w:hAnsi="仿宋_GB2312" w:eastAsia="仿宋_GB2312" w:cs="仿宋_GB2312"/>
                <w:b/>
                <w:bCs/>
                <w:sz w:val="28"/>
                <w:szCs w:val="28"/>
              </w:rPr>
              <w:t>农商银行昌江支行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jc w:val="center"/>
              <w:rPr>
                <w:rFonts w:hint="default" w:asciiTheme="minorEastAsia" w:hAnsiTheme="minorEastAsia" w:cstheme="minorEastAsia"/>
                <w:b/>
                <w:bCs/>
                <w:sz w:val="28"/>
                <w:szCs w:val="28"/>
                <w:lang w:val="en-US"/>
              </w:rPr>
            </w:pPr>
            <w:r>
              <w:rPr>
                <w:rFonts w:hint="eastAsia" w:ascii="仿宋_GB2312" w:hAnsi="仿宋_GB2312" w:eastAsia="仿宋_GB2312" w:cs="仿宋_GB2312"/>
                <w:b/>
                <w:bCs/>
                <w:sz w:val="28"/>
                <w:szCs w:val="28"/>
                <w:lang w:val="en-US" w:eastAsia="zh-CN"/>
              </w:rPr>
              <w:t>1022324700000138</w:t>
            </w:r>
          </w:p>
        </w:tc>
      </w:tr>
    </w:tbl>
    <w:p w14:paraId="0D1E659A">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3</w:t>
      </w:r>
      <w:r>
        <w:rPr>
          <w:rFonts w:hint="eastAsia" w:ascii="新宋体" w:hAnsi="新宋体" w:eastAsia="新宋体" w:cs="Times New Roman"/>
          <w:sz w:val="28"/>
          <w:szCs w:val="28"/>
        </w:rPr>
        <w:t>、未成交的竞买方交易保证金，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eastAsia="zh-CN"/>
        </w:rPr>
        <w:t>昌江农村产权交易中心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4</w:t>
      </w:r>
      <w:r>
        <w:rPr>
          <w:rFonts w:hint="eastAsia" w:ascii="新宋体" w:hAnsi="新宋体" w:eastAsia="新宋体" w:cs="Times New Roman"/>
          <w:b/>
          <w:bCs/>
          <w:sz w:val="28"/>
          <w:szCs w:val="28"/>
        </w:rPr>
        <w:t>、竞买方未按信息公告内容或交易流程要求履行交易程序的，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5</w:t>
      </w:r>
      <w:r>
        <w:rPr>
          <w:rFonts w:hint="eastAsia" w:ascii="新宋体" w:hAnsi="新宋体" w:eastAsia="新宋体" w:cs="Times New Roman"/>
          <w:sz w:val="28"/>
          <w:szCs w:val="28"/>
        </w:rPr>
        <w:t>、交易双方自行办理标的交易价款结算，并进行标的交割。有需要办理变更、过户登记手续的，交易双方凭交易合同等材料到相关部门办理。</w:t>
      </w:r>
    </w:p>
    <w:p w14:paraId="4087C1B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6</w:t>
      </w:r>
      <w:r>
        <w:rPr>
          <w:rFonts w:hint="eastAsia" w:ascii="新宋体" w:hAnsi="新宋体" w:eastAsia="新宋体" w:cs="Times New Roman"/>
          <w:sz w:val="28"/>
          <w:szCs w:val="28"/>
        </w:rPr>
        <w:t>、其他未尽事宜，按照服务协议、交易细则、交易文件及有关规定执行。</w:t>
      </w:r>
    </w:p>
    <w:p w14:paraId="5C6B7A62">
      <w:pPr>
        <w:spacing w:line="520" w:lineRule="exact"/>
        <w:ind w:firstLine="560" w:firstLineChars="200"/>
        <w:rPr>
          <w:rFonts w:hint="eastAsia"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7</w:t>
      </w:r>
      <w:r>
        <w:rPr>
          <w:rFonts w:hint="eastAsia" w:ascii="新宋体" w:hAnsi="新宋体" w:eastAsia="新宋体" w:cs="Times New Roman"/>
          <w:sz w:val="28"/>
          <w:szCs w:val="28"/>
        </w:rPr>
        <w:t>、本《网络竞价须知》有关条款的解释权归</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有权根据相关法律、法规进行变更和修订。</w:t>
      </w:r>
    </w:p>
    <w:p w14:paraId="0F038479">
      <w:pPr>
        <w:bidi w:val="0"/>
      </w:pPr>
    </w:p>
    <w:p w14:paraId="7C6A48B4">
      <w:pPr>
        <w:spacing w:line="520" w:lineRule="exact"/>
      </w:pPr>
      <w:r>
        <w:rPr>
          <w:rFonts w:hint="eastAsia" w:ascii="Times New Roman" w:hAnsi="Times New Roman"/>
          <w:sz w:val="32"/>
          <w:szCs w:val="32"/>
        </w:rPr>
        <w:t>已详细阅读此竞价须知，对此竞价须知无异议。</w:t>
      </w:r>
    </w:p>
    <w:p w14:paraId="23240C30">
      <w:pPr>
        <w:spacing w:line="520" w:lineRule="exact"/>
        <w:ind w:firstLine="3200" w:firstLineChars="1000"/>
        <w:rPr>
          <w:rFonts w:hint="eastAsia" w:ascii="Times New Roman" w:hAnsi="Times New Roman"/>
          <w:sz w:val="32"/>
          <w:szCs w:val="32"/>
        </w:rPr>
      </w:pPr>
    </w:p>
    <w:p w14:paraId="3904B635">
      <w:pPr>
        <w:spacing w:line="520" w:lineRule="exact"/>
        <w:ind w:firstLine="3200" w:firstLineChars="1000"/>
        <w:rPr>
          <w:rFonts w:hint="eastAsia" w:ascii="Times New Roman" w:hAnsi="Times New Roman"/>
          <w:sz w:val="32"/>
          <w:szCs w:val="32"/>
        </w:rPr>
      </w:pPr>
      <w:r>
        <w:rPr>
          <w:rFonts w:hint="eastAsia" w:ascii="Times New Roman" w:hAnsi="Times New Roman"/>
          <w:sz w:val="32"/>
          <w:szCs w:val="32"/>
        </w:rPr>
        <w:t>签字（盖章）确认：</w:t>
      </w:r>
    </w:p>
    <w:p w14:paraId="23B6C5FB">
      <w:pPr>
        <w:spacing w:line="520" w:lineRule="exact"/>
        <w:ind w:firstLine="3200" w:firstLineChars="1000"/>
        <w:rPr>
          <w:rFonts w:ascii="黑体" w:hAnsi="黑体"/>
          <w:color w:val="000000"/>
        </w:rPr>
      </w:pPr>
      <w:r>
        <w:rPr>
          <w:rFonts w:hint="eastAsia" w:ascii="Times New Roman" w:hAnsi="Times New Roman" w:eastAsiaTheme="minorEastAsia" w:cstheme="minorBidi"/>
          <w:b w:val="0"/>
          <w:kern w:val="2"/>
          <w:sz w:val="32"/>
          <w:szCs w:val="32"/>
          <w:lang w:val="en-US" w:eastAsia="zh-CN" w:bidi="ar-SA"/>
        </w:rPr>
        <w:t>日期：     年     月   日</w:t>
      </w:r>
    </w:p>
    <w:p w14:paraId="2B7F3C6C">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15AB0BC9">
      <w:pPr>
        <w:pStyle w:val="3"/>
        <w:spacing w:line="240" w:lineRule="auto"/>
        <w:jc w:val="center"/>
        <w:rPr>
          <w:rStyle w:val="16"/>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昌江农村产权交易中心</w:t>
      </w:r>
      <w:r>
        <w:rPr>
          <w:rFonts w:hint="eastAsia" w:ascii="Times New Roman" w:hAnsi="Times New Roman"/>
          <w:sz w:val="28"/>
          <w:szCs w:val="28"/>
        </w:rPr>
        <w:t>：</w:t>
      </w:r>
    </w:p>
    <w:p w14:paraId="39B30193">
      <w:pPr>
        <w:jc w:val="left"/>
        <w:outlineLvl w:val="0"/>
        <w:rPr>
          <w:rFonts w:ascii="Times New Roman" w:hAnsi="Times New Roman"/>
          <w:sz w:val="28"/>
          <w:szCs w:val="28"/>
        </w:rPr>
      </w:pPr>
      <w:r>
        <w:rPr>
          <w:rFonts w:hint="eastAsia" w:ascii="Times New Roman" w:hAnsi="Times New Roman"/>
          <w:sz w:val="28"/>
          <w:szCs w:val="28"/>
        </w:rPr>
        <w:t>本竞买方就参与</w:t>
      </w:r>
      <w:r>
        <w:rPr>
          <w:rFonts w:hint="eastAsia" w:ascii="新宋体" w:hAnsi="新宋体" w:eastAsia="新宋体"/>
          <w:b/>
          <w:bCs/>
          <w:color w:val="C00000"/>
          <w:sz w:val="28"/>
          <w:szCs w:val="28"/>
          <w:u w:val="single"/>
          <w:lang w:val="en-US" w:eastAsia="zh-CN"/>
        </w:rPr>
        <w:t>“昌江县石碌镇东风路38号（面向铁城路）60㎡匹克商铺出租”</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昌江县石碌镇东风路38号（面向铁城路）60㎡匹克商铺出租</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昌江县石碌镇东风路38号（面向铁城路）60㎡匹克商铺出租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昌江农村产权交易中心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w:t>
      </w:r>
      <w:r>
        <w:rPr>
          <w:rFonts w:hint="eastAsia" w:ascii="Times New Roman" w:hAnsi="Times New Roman"/>
          <w:sz w:val="28"/>
          <w:szCs w:val="28"/>
          <w:lang w:eastAsia="zh-CN"/>
        </w:rPr>
        <w:t>出租</w:t>
      </w:r>
      <w:r>
        <w:rPr>
          <w:rFonts w:hint="eastAsia" w:ascii="Times New Roman" w:hAnsi="Times New Roman"/>
          <w:sz w:val="28"/>
          <w:szCs w:val="28"/>
        </w:rPr>
        <w:t>（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昌江农村产权交易中心</w:t>
      </w:r>
      <w:r>
        <w:rPr>
          <w:rFonts w:hint="eastAsia" w:ascii="新宋体" w:hAnsi="新宋体" w:eastAsia="新宋体" w:cs="Times New Roman"/>
          <w:sz w:val="28"/>
          <w:szCs w:val="28"/>
          <w:lang w:val="en-US" w:eastAsia="zh-CN"/>
        </w:rPr>
        <w:t>（以下简称“农交中心”）网站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changjiang</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w:t>
      </w:r>
      <w:r>
        <w:rPr>
          <w:rFonts w:hint="eastAsia" w:ascii="Times New Roman" w:hAnsi="Times New Roman"/>
          <w:sz w:val="28"/>
          <w:szCs w:val="28"/>
          <w:lang w:eastAsia="zh-CN"/>
        </w:rPr>
        <w:t>出租</w:t>
      </w:r>
      <w:r>
        <w:rPr>
          <w:rFonts w:hint="eastAsia" w:ascii="Times New Roman" w:hAnsi="Times New Roman"/>
          <w:sz w:val="28"/>
          <w:szCs w:val="28"/>
        </w:rPr>
        <w:t>（转让）方和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昌江</w:t>
      </w:r>
      <w:r>
        <w:rPr>
          <w:rFonts w:hint="eastAsia" w:ascii="Times New Roman" w:hAnsi="Times New Roman"/>
          <w:sz w:val="28"/>
          <w:szCs w:val="28"/>
        </w:rPr>
        <w:t>农村产权交易服务</w:t>
      </w:r>
      <w:r>
        <w:rPr>
          <w:rFonts w:hint="eastAsia" w:ascii="Times New Roman" w:hAnsi="Times New Roman"/>
          <w:sz w:val="28"/>
          <w:szCs w:val="28"/>
          <w:lang w:eastAsia="zh-CN"/>
        </w:rPr>
        <w:t>农交中心</w:t>
      </w:r>
      <w:r>
        <w:rPr>
          <w:rFonts w:hint="eastAsia" w:ascii="Times New Roman" w:hAnsi="Times New Roman"/>
          <w:sz w:val="28"/>
          <w:szCs w:val="28"/>
        </w:rPr>
        <w:t>书面通知要求与</w:t>
      </w:r>
      <w:r>
        <w:rPr>
          <w:rFonts w:hint="eastAsia" w:ascii="Times New Roman" w:hAnsi="Times New Roman"/>
          <w:sz w:val="28"/>
          <w:szCs w:val="28"/>
          <w:lang w:eastAsia="zh-CN"/>
        </w:rPr>
        <w:t>出租</w:t>
      </w:r>
      <w:r>
        <w:rPr>
          <w:rFonts w:hint="eastAsia" w:ascii="Times New Roman" w:hAnsi="Times New Roman"/>
          <w:sz w:val="28"/>
          <w:szCs w:val="28"/>
        </w:rPr>
        <w:t>（转让）方签署交易合同，并按《产权交易结算通知书》的约定支付交易价款。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B1E3964">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5E211D9">
      <w:pPr>
        <w:rPr>
          <w:rFonts w:ascii="仿宋_GB2312" w:hAnsi="仿宋_GB2312" w:eastAsia="仿宋_GB2312" w:cs="仿宋_GB2312"/>
          <w:b/>
          <w:color w:val="000000"/>
          <w:sz w:val="30"/>
          <w:szCs w:val="30"/>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昌江农村产权交易中心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3"/>
        <w:spacing w:line="400" w:lineRule="exact"/>
        <w:rPr>
          <w:rFonts w:ascii="仿宋" w:hAnsi="仿宋"/>
          <w:bCs/>
          <w:szCs w:val="36"/>
        </w:rPr>
      </w:pPr>
      <w:r>
        <w:rPr>
          <w:rFonts w:hint="eastAsia"/>
          <w:bCs/>
          <w:szCs w:val="36"/>
        </w:rPr>
        <w:t>意向承租（受让）函</w:t>
      </w:r>
    </w:p>
    <w:p w14:paraId="0BBF9B4D">
      <w:pPr>
        <w:rPr>
          <w:rFonts w:ascii="Times New Roman" w:hAnsi="Times New Roman" w:eastAsia="黑体"/>
          <w:bCs/>
          <w:sz w:val="24"/>
        </w:rPr>
      </w:pPr>
      <w:r>
        <w:rPr>
          <w:rFonts w:hint="eastAsia" w:ascii="Times New Roman" w:hAnsi="Times New Roman" w:eastAsia="黑体"/>
          <w:sz w:val="24"/>
          <w:lang w:val="en-US" w:eastAsia="zh-CN"/>
        </w:rPr>
        <w:t>昌江农村产权交易中心</w:t>
      </w:r>
      <w:r>
        <w:rPr>
          <w:rFonts w:hint="eastAsia" w:ascii="Times New Roman" w:hAnsi="Times New Roman" w:eastAsia="黑体"/>
          <w:sz w:val="24"/>
        </w:rPr>
        <w:t>：</w:t>
      </w:r>
    </w:p>
    <w:p w14:paraId="7BB5CB8B">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昌江农村产权交易中心（以下简称“农交中心”）网站</w:t>
      </w:r>
      <w:r>
        <w:rPr>
          <w:rFonts w:hint="eastAsia" w:ascii="Times New Roman" w:hAnsi="Times New Roman"/>
          <w:bCs/>
          <w:sz w:val="24"/>
        </w:rPr>
        <w:t>（http://</w:t>
      </w:r>
      <w:r>
        <w:rPr>
          <w:rFonts w:hint="eastAsia" w:ascii="Times New Roman" w:hAnsi="Times New Roman"/>
          <w:bCs/>
          <w:sz w:val="24"/>
          <w:lang w:val="en-US" w:eastAsia="zh-CN"/>
        </w:rPr>
        <w:t>changjiang</w:t>
      </w:r>
      <w:r>
        <w:rPr>
          <w:rFonts w:hint="eastAsia" w:ascii="Times New Roman" w:hAnsi="Times New Roman"/>
          <w:bCs/>
          <w:sz w:val="24"/>
        </w:rPr>
        <w:t>.nongjiao.com）申请承租（受让）</w:t>
      </w:r>
      <w:r>
        <w:rPr>
          <w:rFonts w:hint="eastAsia" w:ascii="新宋体" w:hAnsi="新宋体" w:eastAsia="新宋体"/>
          <w:b/>
          <w:bCs/>
          <w:color w:val="C00000"/>
          <w:sz w:val="28"/>
          <w:szCs w:val="28"/>
          <w:u w:val="single"/>
          <w:lang w:val="en-US" w:eastAsia="zh-CN"/>
        </w:rPr>
        <w:t>昌江县石碌镇东风路38号（面向铁城路）60㎡匹克商铺出租</w:t>
      </w:r>
      <w:r>
        <w:rPr>
          <w:rFonts w:hint="eastAsia" w:ascii="Times New Roman" w:hAnsi="Times New Roman"/>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w:t>
      </w:r>
      <w:r>
        <w:rPr>
          <w:rFonts w:hint="eastAsia" w:ascii="Times New Roman" w:hAnsi="Times New Roman"/>
          <w:b/>
          <w:sz w:val="24"/>
          <w:lang w:eastAsia="zh-CN"/>
        </w:rPr>
        <w:t>昌江农村产权交易中心</w:t>
      </w:r>
      <w:r>
        <w:rPr>
          <w:rFonts w:hint="eastAsia" w:ascii="Times New Roman" w:hAnsi="Times New Roman"/>
          <w:b/>
          <w:sz w:val="24"/>
        </w:rPr>
        <w:t>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6" w:name="_Toc11532"/>
      <w:bookmarkStart w:id="17" w:name="_Toc28981"/>
      <w:bookmarkStart w:id="18" w:name="_Toc13357"/>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19" w:name="_Toc24611"/>
      <w:bookmarkStart w:id="20" w:name="_Toc7009"/>
      <w:bookmarkStart w:id="21" w:name="_Toc31003"/>
      <w:r>
        <w:rPr>
          <w:rFonts w:hint="eastAsia" w:ascii="Times New Roman" w:hAnsi="Times New Roman"/>
          <w:b/>
          <w:sz w:val="24"/>
          <w:szCs w:val="24"/>
        </w:rPr>
        <w:t>10、最终解释权归</w:t>
      </w:r>
      <w:r>
        <w:rPr>
          <w:rFonts w:hint="eastAsia" w:ascii="Times New Roman" w:hAnsi="Times New Roman"/>
          <w:b/>
          <w:sz w:val="24"/>
          <w:szCs w:val="24"/>
          <w:lang w:val="en-US" w:eastAsia="zh-CN"/>
        </w:rPr>
        <w:t>昌江农村产权交易中心</w:t>
      </w:r>
      <w:r>
        <w:rPr>
          <w:rFonts w:hint="eastAsia" w:ascii="Times New Roman" w:hAnsi="Times New Roman"/>
          <w:b/>
          <w:sz w:val="24"/>
          <w:szCs w:val="24"/>
        </w:rPr>
        <w:t>。</w:t>
      </w:r>
      <w:bookmarkEnd w:id="19"/>
      <w:bookmarkEnd w:id="20"/>
      <w:bookmarkEnd w:id="21"/>
    </w:p>
    <w:p w14:paraId="7080055C">
      <w:pPr>
        <w:spacing w:line="312" w:lineRule="auto"/>
        <w:ind w:firstLine="3840" w:firstLineChars="1600"/>
        <w:rPr>
          <w:rFonts w:ascii="宋体" w:hAnsi="宋体" w:eastAsia="宋体" w:cs="宋体"/>
          <w:sz w:val="24"/>
        </w:rPr>
      </w:pPr>
    </w:p>
    <w:p w14:paraId="4CD2AC17">
      <w:pPr>
        <w:spacing w:line="296" w:lineRule="auto"/>
        <w:ind w:firstLine="3840" w:firstLineChars="1600"/>
        <w:rPr>
          <w:rFonts w:ascii="宋体" w:hAnsi="宋体" w:eastAsia="宋体" w:cs="宋体"/>
          <w:sz w:val="24"/>
          <w:u w:val="single"/>
        </w:rPr>
      </w:pPr>
      <w:bookmarkStart w:id="22" w:name="_Toc4535"/>
      <w:bookmarkStart w:id="23" w:name="_Toc30986"/>
      <w:bookmarkStart w:id="24" w:name="_Toc29057"/>
      <w:r>
        <w:rPr>
          <w:rFonts w:hint="eastAsia" w:ascii="宋体" w:hAnsi="宋体" w:eastAsia="宋体" w:cs="宋体"/>
          <w:sz w:val="24"/>
        </w:rPr>
        <w:t>申 请 单 位（盖章）：</w:t>
      </w:r>
      <w:bookmarkEnd w:id="22"/>
      <w:bookmarkEnd w:id="23"/>
      <w:bookmarkEnd w:id="24"/>
      <w:r>
        <w:rPr>
          <w:rFonts w:hint="eastAsia" w:ascii="宋体" w:hAnsi="宋体" w:eastAsia="宋体" w:cs="宋体"/>
          <w:sz w:val="24"/>
          <w:u w:val="single"/>
        </w:rPr>
        <w:t xml:space="preserve">                                                    </w:t>
      </w:r>
    </w:p>
    <w:p w14:paraId="60100DA8">
      <w:pPr>
        <w:spacing w:line="296" w:lineRule="auto"/>
        <w:ind w:firstLine="3840" w:firstLineChars="1600"/>
        <w:outlineLvl w:val="1"/>
        <w:rPr>
          <w:rFonts w:ascii="宋体" w:hAnsi="宋体" w:eastAsia="宋体" w:cs="宋体"/>
          <w:sz w:val="24"/>
          <w:u w:val="single"/>
        </w:rPr>
      </w:pPr>
      <w:bookmarkStart w:id="25" w:name="_Toc17490"/>
      <w:bookmarkStart w:id="26" w:name="_Toc9059"/>
      <w:r>
        <w:rPr>
          <w:rFonts w:hint="eastAsia" w:ascii="宋体" w:hAnsi="宋体" w:eastAsia="宋体" w:cs="宋体"/>
          <w:sz w:val="24"/>
        </w:rPr>
        <w:t>法定代表人（签字）：</w:t>
      </w:r>
      <w:bookmarkEnd w:id="25"/>
      <w:bookmarkEnd w:id="26"/>
      <w:r>
        <w:rPr>
          <w:rFonts w:hint="eastAsia" w:ascii="宋体" w:hAnsi="宋体" w:eastAsia="宋体" w:cs="宋体"/>
          <w:sz w:val="24"/>
          <w:u w:val="single"/>
        </w:rPr>
        <w:t xml:space="preserve">                          </w:t>
      </w:r>
    </w:p>
    <w:p w14:paraId="43F8999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9D232EF">
      <w:pPr>
        <w:pStyle w:val="3"/>
        <w:spacing w:line="240" w:lineRule="auto"/>
        <w:rPr>
          <w:rFonts w:ascii="黑体" w:hAnsi="黑体"/>
          <w:color w:val="000000"/>
        </w:rPr>
      </w:pPr>
      <w:bookmarkStart w:id="27" w:name="_Toc13094"/>
      <w:bookmarkStart w:id="28" w:name="_Toc12264"/>
      <w:bookmarkStart w:id="29" w:name="_Toc4580"/>
      <w:bookmarkStart w:id="30" w:name="_Toc29841"/>
      <w:bookmarkStart w:id="31" w:name="_Toc32101"/>
      <w:bookmarkStart w:id="32" w:name="_Toc11237"/>
      <w:bookmarkStart w:id="33" w:name="_Toc14469"/>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4"/>
              <w:rPr>
                <w:rFonts w:hint="default" w:eastAsiaTheme="minorEastAsia"/>
                <w:lang w:val="en-US" w:eastAsia="zh-CN"/>
              </w:rPr>
            </w:pPr>
            <w:r>
              <w:rPr>
                <w:rFonts w:hint="eastAsia"/>
                <w:lang w:val="en-US" w:eastAsia="zh-CN"/>
              </w:rPr>
              <w:t xml:space="preserve">     </w:t>
            </w: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8"/>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8"/>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8"/>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8"/>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8"/>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8"/>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center"/>
              <w:rPr>
                <w:rFonts w:hint="default" w:ascii="宋体" w:hAnsi="宋体" w:eastAsia="宋体"/>
                <w:sz w:val="22"/>
                <w:lang w:val="en-US" w:eastAsia="zh-CN"/>
              </w:rPr>
            </w:pP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种植果树</w:t>
            </w:r>
          </w:p>
        </w:tc>
      </w:tr>
      <w:tr w14:paraId="029344FE">
        <w:tblPrEx>
          <w:tblCellMar>
            <w:top w:w="0" w:type="dxa"/>
            <w:left w:w="0" w:type="dxa"/>
            <w:bottom w:w="0" w:type="dxa"/>
            <w:right w:w="0" w:type="dxa"/>
          </w:tblCellMar>
        </w:tblPrEx>
        <w:trPr>
          <w:cantSplit/>
          <w:trHeight w:val="578"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595"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65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695"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628"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rPr>
            </w:pPr>
            <w:r>
              <w:rPr>
                <w:rFonts w:hint="eastAsia" w:ascii="宋体" w:hAnsi="宋体" w:eastAsia="宋体"/>
                <w:bCs/>
                <w:sz w:val="22"/>
              </w:rPr>
              <w:t>法人单位</w:t>
            </w:r>
          </w:p>
          <w:p w14:paraId="6D855367">
            <w:pPr>
              <w:spacing w:line="360" w:lineRule="auto"/>
              <w:jc w:val="center"/>
              <w:rPr>
                <w:rFonts w:ascii="宋体" w:hAnsi="宋体" w:eastAsia="宋体"/>
                <w:bCs/>
                <w:sz w:val="22"/>
              </w:rPr>
            </w:pPr>
            <w:r>
              <w:rPr>
                <w:rFonts w:hint="eastAsia" w:ascii="宋体" w:hAnsi="宋体" w:eastAsia="宋体"/>
                <w:bCs/>
                <w:sz w:val="22"/>
              </w:rPr>
              <w:t>（如农业企业，</w:t>
            </w:r>
          </w:p>
          <w:p w14:paraId="63EA6963">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6322EF9C">
        <w:tblPrEx>
          <w:tblCellMar>
            <w:top w:w="0" w:type="dxa"/>
            <w:left w:w="0" w:type="dxa"/>
            <w:bottom w:w="0" w:type="dxa"/>
            <w:right w:w="0" w:type="dxa"/>
          </w:tblCellMar>
        </w:tblPrEx>
        <w:trPr>
          <w:cantSplit/>
          <w:trHeight w:val="628"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0E11F8F">
        <w:tblPrEx>
          <w:tblCellMar>
            <w:top w:w="0" w:type="dxa"/>
            <w:left w:w="0" w:type="dxa"/>
            <w:bottom w:w="0" w:type="dxa"/>
            <w:right w:w="0" w:type="dxa"/>
          </w:tblCellMar>
        </w:tblPrEx>
        <w:trPr>
          <w:cantSplit/>
          <w:trHeight w:val="661"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57F75B">
        <w:tblPrEx>
          <w:tblCellMar>
            <w:top w:w="0" w:type="dxa"/>
            <w:left w:w="0" w:type="dxa"/>
            <w:bottom w:w="0" w:type="dxa"/>
            <w:right w:w="0" w:type="dxa"/>
          </w:tblCellMar>
        </w:tblPrEx>
        <w:trPr>
          <w:cantSplit/>
          <w:trHeight w:val="611"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48042F22">
        <w:tblPrEx>
          <w:tblCellMar>
            <w:top w:w="0" w:type="dxa"/>
            <w:left w:w="0" w:type="dxa"/>
            <w:bottom w:w="0" w:type="dxa"/>
            <w:right w:w="0" w:type="dxa"/>
          </w:tblCellMar>
        </w:tblPrEx>
        <w:trPr>
          <w:cantSplit/>
          <w:trHeight w:val="595"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595"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661"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28A2DEE1">
      <w:pPr>
        <w:spacing w:line="570" w:lineRule="exact"/>
        <w:jc w:val="both"/>
        <w:rPr>
          <w:rFonts w:hint="eastAsia" w:ascii="方正小标宋简体" w:hAnsi="方正小标宋简体" w:eastAsia="方正小标宋简体" w:cs="方正小标宋简体"/>
          <w:b/>
          <w:bCs/>
          <w:sz w:val="36"/>
          <w:szCs w:val="36"/>
          <w:u w:val="single"/>
        </w:rPr>
      </w:pP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昌江县石碌镇东风路38号（面向铁城路）60㎡匹克商铺出租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keepNext w:val="0"/>
        <w:keepLines w:val="0"/>
        <w:pageBreakBefore w:val="0"/>
        <w:widowControl w:val="0"/>
        <w:shd w:val="clear" w:color="auto" w:fill="auto"/>
        <w:kinsoku/>
        <w:wordWrap w:val="0"/>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昌江县昌粮储备有限公司</w:t>
      </w:r>
      <w:r>
        <w:rPr>
          <w:rFonts w:hint="eastAsia" w:asciiTheme="minorEastAsia" w:hAnsiTheme="minorEastAsia" w:eastAsiaTheme="minorEastAsia" w:cstheme="minorEastAsia"/>
          <w:sz w:val="32"/>
          <w:szCs w:val="32"/>
        </w:rPr>
        <w:t>召开的会议决议，同意</w:t>
      </w:r>
      <w:r>
        <w:rPr>
          <w:rFonts w:hint="eastAsia" w:ascii="新宋体" w:hAnsi="新宋体" w:eastAsia="新宋体"/>
          <w:b/>
          <w:bCs/>
          <w:color w:val="C00000"/>
          <w:sz w:val="28"/>
          <w:szCs w:val="28"/>
          <w:u w:val="single"/>
          <w:lang w:val="en-US" w:eastAsia="zh-CN"/>
        </w:rPr>
        <w:t>昌江县石碌镇东风路38号（面向铁城路）60㎡匹克商铺出租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昌江农村产权交易中心(以下简称“农交中心”)网站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changjiang</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eastAsia="zh-CN"/>
        </w:rPr>
        <w:t>出租</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51C52CF7">
      <w:pPr>
        <w:spacing w:line="520" w:lineRule="exact"/>
        <w:ind w:firstLine="560" w:firstLineChars="200"/>
        <w:rPr>
          <w:rFonts w:hint="default" w:asciiTheme="minorEastAsia" w:hAnsiTheme="minorEastAsia" w:cstheme="minorEastAsia"/>
          <w:color w:val="C00000"/>
          <w:sz w:val="28"/>
          <w:szCs w:val="28"/>
          <w:u w:val="none"/>
          <w:lang w:val="en-US" w:eastAsia="zh-CN"/>
        </w:rPr>
      </w:pPr>
      <w:r>
        <w:rPr>
          <w:rFonts w:hint="eastAsia" w:asciiTheme="minorEastAsia" w:hAnsiTheme="minorEastAsia" w:eastAsiaTheme="minorEastAsia" w:cstheme="minorEastAsia"/>
          <w:sz w:val="28"/>
          <w:szCs w:val="28"/>
        </w:rPr>
        <w:t>标的名称：</w:t>
      </w:r>
      <w:r>
        <w:rPr>
          <w:rFonts w:hint="eastAsia" w:ascii="新宋体" w:hAnsi="新宋体" w:eastAsia="新宋体"/>
          <w:b/>
          <w:bCs/>
          <w:color w:val="C00000"/>
          <w:sz w:val="28"/>
          <w:szCs w:val="28"/>
          <w:u w:val="none"/>
          <w:lang w:val="en-US" w:eastAsia="zh-CN"/>
        </w:rPr>
        <w:t>昌江县石碌镇东风路38号（面向铁城路）60㎡匹克商铺出租</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11F32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5168B9AF">
            <w:pPr>
              <w:spacing w:line="240" w:lineRule="auto"/>
              <w:rPr>
                <w:rFonts w:hint="default" w:asciiTheme="minorEastAsia" w:hAnsiTheme="minorEastAsia" w:cstheme="minorEastAsia"/>
                <w:color w:val="C00000"/>
                <w:sz w:val="28"/>
                <w:szCs w:val="28"/>
                <w:vertAlign w:val="baseline"/>
                <w:lang w:val="en-US" w:eastAsia="zh-CN"/>
              </w:rPr>
            </w:pPr>
            <w:r>
              <w:rPr>
                <w:rFonts w:hint="eastAsia" w:ascii="新宋体" w:hAnsi="新宋体" w:eastAsia="新宋体"/>
                <w:b/>
                <w:bCs/>
                <w:color w:val="C00000"/>
                <w:sz w:val="28"/>
                <w:szCs w:val="28"/>
                <w:u w:val="none"/>
                <w:lang w:val="en-US" w:eastAsia="zh-CN"/>
              </w:rPr>
              <w:t>昌江县石碌镇东风路38号（面向铁城路）60㎡匹克商铺出租</w:t>
            </w:r>
          </w:p>
        </w:tc>
        <w:tc>
          <w:tcPr>
            <w:tcW w:w="2841" w:type="dxa"/>
            <w:vAlign w:val="top"/>
          </w:tcPr>
          <w:p w14:paraId="54095B6C">
            <w:pPr>
              <w:spacing w:line="240" w:lineRule="auto"/>
              <w:jc w:val="both"/>
              <w:rPr>
                <w:rFonts w:hint="eastAsia" w:asciiTheme="minorEastAsia" w:hAnsiTheme="minorEastAsia" w:cstheme="minorEastAsia"/>
                <w:color w:val="000000" w:themeColor="text1"/>
                <w:sz w:val="30"/>
                <w:szCs w:val="30"/>
                <w:vertAlign w:val="baseline"/>
                <w:lang w:val="en-US" w:eastAsia="zh-CN"/>
                <w14:textFill>
                  <w14:solidFill>
                    <w14:schemeClr w14:val="tx1"/>
                  </w14:solidFill>
                </w14:textFill>
              </w:rPr>
            </w:pPr>
          </w:p>
          <w:p w14:paraId="302BF194">
            <w:pPr>
              <w:spacing w:line="240" w:lineRule="auto"/>
              <w:jc w:val="center"/>
              <w:rPr>
                <w:rFonts w:hint="default" w:asciiTheme="minorEastAsia" w:hAnsiTheme="minorEastAsia" w:cstheme="minorEastAsia"/>
                <w:color w:val="C00000"/>
                <w:sz w:val="28"/>
                <w:szCs w:val="28"/>
                <w:vertAlign w:val="baseline"/>
                <w:lang w:val="en-US" w:eastAsia="zh-CN"/>
              </w:rPr>
            </w:pPr>
            <w:r>
              <w:rPr>
                <w:rFonts w:hint="eastAsia" w:asciiTheme="minorEastAsia" w:hAnsiTheme="minorEastAsia" w:cstheme="minorEastAsia"/>
                <w:color w:val="000000" w:themeColor="text1"/>
                <w:sz w:val="30"/>
                <w:szCs w:val="30"/>
                <w:vertAlign w:val="baseline"/>
                <w:lang w:val="en-US" w:eastAsia="zh-CN"/>
                <w14:textFill>
                  <w14:solidFill>
                    <w14:schemeClr w14:val="tx1"/>
                  </w14:solidFill>
                </w14:textFill>
              </w:rPr>
              <w:t>3年</w:t>
            </w:r>
          </w:p>
        </w:tc>
        <w:tc>
          <w:tcPr>
            <w:tcW w:w="2841" w:type="dxa"/>
            <w:vAlign w:val="top"/>
          </w:tcPr>
          <w:p w14:paraId="6D4EC1EB">
            <w:pPr>
              <w:spacing w:line="240" w:lineRule="auto"/>
              <w:jc w:val="center"/>
              <w:rPr>
                <w:rFonts w:hint="eastAsia" w:asciiTheme="minorEastAsia" w:hAnsiTheme="minorEastAsia" w:cstheme="minorEastAsia"/>
                <w:color w:val="C00000"/>
                <w:sz w:val="28"/>
                <w:szCs w:val="28"/>
                <w:vertAlign w:val="baseline"/>
                <w:lang w:eastAsia="zh-CN"/>
              </w:rPr>
            </w:pPr>
          </w:p>
          <w:p w14:paraId="3737B3E3">
            <w:pPr>
              <w:spacing w:line="240" w:lineRule="auto"/>
              <w:jc w:val="center"/>
              <w:rPr>
                <w:rFonts w:hint="eastAsia" w:asciiTheme="minorEastAsia" w:hAnsiTheme="minorEastAsia" w:cstheme="minorEastAsia"/>
                <w:color w:val="C00000"/>
                <w:sz w:val="28"/>
                <w:szCs w:val="28"/>
                <w:vertAlign w:val="baseline"/>
                <w:lang w:eastAsia="zh-CN"/>
              </w:rPr>
            </w:pPr>
            <w:r>
              <w:rPr>
                <w:rFonts w:hint="eastAsia" w:ascii="新宋体" w:hAnsi="新宋体" w:eastAsia="新宋体" w:cs="Times New Roman"/>
                <w:b w:val="0"/>
                <w:bCs w:val="0"/>
                <w:sz w:val="30"/>
                <w:szCs w:val="30"/>
                <w:vertAlign w:val="baseline"/>
                <w:lang w:val="en-US" w:eastAsia="zh-CN"/>
              </w:rPr>
              <w:t>20400</w:t>
            </w:r>
            <w:bookmarkStart w:id="35" w:name="_GoBack"/>
            <w:bookmarkEnd w:id="35"/>
            <w:r>
              <w:rPr>
                <w:rFonts w:hint="default" w:ascii="新宋体" w:hAnsi="新宋体" w:eastAsia="新宋体" w:cs="Times New Roman"/>
                <w:b w:val="0"/>
                <w:bCs w:val="0"/>
                <w:sz w:val="30"/>
                <w:szCs w:val="30"/>
                <w:vertAlign w:val="baseline"/>
                <w:lang w:val="en-US" w:eastAsia="zh-CN"/>
              </w:rPr>
              <w:t>元/年</w:t>
            </w:r>
          </w:p>
        </w:tc>
      </w:tr>
    </w:tbl>
    <w:p w14:paraId="26BE53C7">
      <w:pPr>
        <w:spacing w:line="240" w:lineRule="auto"/>
        <w:ind w:firstLine="560" w:firstLineChars="200"/>
        <w:rPr>
          <w:rFonts w:hint="eastAsia" w:asciiTheme="minorEastAsia" w:hAnsiTheme="minorEastAsia" w:cstheme="minorEastAsia"/>
          <w:color w:val="C00000"/>
          <w:sz w:val="28"/>
          <w:szCs w:val="28"/>
          <w:lang w:eastAsia="zh-CN"/>
        </w:rPr>
      </w:pPr>
    </w:p>
    <w:p w14:paraId="36B61AE3">
      <w:pPr>
        <w:spacing w:line="520" w:lineRule="exact"/>
        <w:ind w:firstLine="560" w:firstLineChars="200"/>
        <w:rPr>
          <w:rFonts w:hint="default" w:ascii="Segoe UI" w:hAnsi="Segoe UI" w:eastAsia="Segoe UI" w:cs="Segoe UI"/>
          <w:i w:val="0"/>
          <w:iCs w:val="0"/>
          <w:caps w:val="0"/>
          <w:color w:val="000000"/>
          <w:spacing w:val="0"/>
          <w:sz w:val="28"/>
          <w:szCs w:val="28"/>
        </w:rPr>
      </w:pPr>
      <w:r>
        <w:rPr>
          <w:rFonts w:hint="eastAsia" w:asciiTheme="minorEastAsia" w:hAnsiTheme="minorEastAsia" w:eastAsiaTheme="minorEastAsia" w:cstheme="minorEastAsia"/>
          <w:sz w:val="28"/>
          <w:szCs w:val="28"/>
        </w:rPr>
        <w:t>付款方式：</w:t>
      </w:r>
      <w:r>
        <w:rPr>
          <w:rFonts w:ascii="Segoe UI" w:hAnsi="Segoe UI" w:eastAsia="Segoe UI" w:cs="Segoe UI"/>
          <w:i w:val="0"/>
          <w:iCs w:val="0"/>
          <w:caps w:val="0"/>
          <w:color w:val="000000"/>
          <w:spacing w:val="0"/>
          <w:sz w:val="28"/>
          <w:szCs w:val="28"/>
        </w:rPr>
        <w:t>须缴纳租赁押金为</w:t>
      </w:r>
      <w:r>
        <w:rPr>
          <w:rFonts w:hint="eastAsia" w:ascii="Segoe UI" w:hAnsi="Segoe UI" w:eastAsia="宋体" w:cs="Segoe UI"/>
          <w:i w:val="0"/>
          <w:iCs w:val="0"/>
          <w:caps w:val="0"/>
          <w:color w:val="000000"/>
          <w:spacing w:val="0"/>
          <w:sz w:val="28"/>
          <w:szCs w:val="28"/>
          <w:lang w:val="en-US" w:eastAsia="zh-CN"/>
        </w:rPr>
        <w:t>两</w:t>
      </w:r>
      <w:r>
        <w:rPr>
          <w:rFonts w:ascii="Segoe UI" w:hAnsi="Segoe UI" w:eastAsia="Segoe UI" w:cs="Segoe UI"/>
          <w:i w:val="0"/>
          <w:iCs w:val="0"/>
          <w:caps w:val="0"/>
          <w:color w:val="000000"/>
          <w:spacing w:val="0"/>
          <w:sz w:val="28"/>
          <w:szCs w:val="28"/>
        </w:rPr>
        <w:t>个月租金</w:t>
      </w:r>
      <w:r>
        <w:rPr>
          <w:rFonts w:hint="eastAsia" w:ascii="Segoe UI" w:hAnsi="Segoe UI" w:eastAsia="宋体" w:cs="Segoe UI"/>
          <w:i w:val="0"/>
          <w:iCs w:val="0"/>
          <w:caps w:val="0"/>
          <w:color w:val="000000"/>
          <w:spacing w:val="0"/>
          <w:sz w:val="28"/>
          <w:szCs w:val="28"/>
          <w:lang w:eastAsia="zh-CN"/>
        </w:rPr>
        <w:t>；</w:t>
      </w:r>
      <w:r>
        <w:rPr>
          <w:rFonts w:ascii="Segoe UI" w:hAnsi="Segoe UI" w:eastAsia="Segoe UI" w:cs="Segoe UI"/>
          <w:i w:val="0"/>
          <w:iCs w:val="0"/>
          <w:caps w:val="0"/>
          <w:color w:val="000000"/>
          <w:spacing w:val="0"/>
          <w:sz w:val="28"/>
          <w:szCs w:val="28"/>
        </w:rPr>
        <w:t>租金每月支付一次，先支付租金后使用。</w:t>
      </w:r>
      <w:r>
        <w:rPr>
          <w:rFonts w:hint="eastAsia" w:ascii="Segoe UI" w:hAnsi="Segoe UI" w:eastAsia="Segoe UI" w:cs="Segoe UI"/>
          <w:i w:val="0"/>
          <w:iCs w:val="0"/>
          <w:caps w:val="0"/>
          <w:color w:val="000000"/>
          <w:spacing w:val="0"/>
          <w:sz w:val="28"/>
          <w:szCs w:val="28"/>
          <w:lang w:val="en-US" w:eastAsia="zh-CN"/>
        </w:rPr>
        <w:t>租金自第2年起，在上年度基础上逐年递增1%。</w:t>
      </w:r>
    </w:p>
    <w:p w14:paraId="7934A578">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Segoe UI" w:hAnsi="Segoe UI" w:eastAsia="宋体" w:cs="Segoe UI"/>
          <w:i w:val="0"/>
          <w:iCs w:val="0"/>
          <w:caps w:val="0"/>
          <w:color w:val="000000"/>
          <w:spacing w:val="0"/>
          <w:sz w:val="28"/>
          <w:szCs w:val="28"/>
          <w:lang w:val="en-US" w:eastAsia="zh-CN"/>
        </w:rPr>
        <w:t>18289922358</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12345</w:t>
      </w:r>
    </w:p>
    <w:p w14:paraId="69C6789A">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昌江黎族自治县石碌镇人民北路239号</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changjiang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w:t>
      </w:r>
      <w:r>
        <w:rPr>
          <w:rFonts w:hint="eastAsia" w:asciiTheme="minorEastAsia" w:hAnsiTheme="minorEastAsia" w:cstheme="minorEastAsia"/>
          <w:sz w:val="28"/>
          <w:szCs w:val="28"/>
          <w:lang w:val="en-US" w:eastAsia="zh-CN"/>
        </w:rPr>
        <w:t>公众号</w:t>
      </w:r>
      <w:r>
        <w:rPr>
          <w:rFonts w:hint="eastAsia" w:asciiTheme="minorEastAsia" w:hAnsiTheme="minorEastAsia" w:eastAsiaTheme="minorEastAsia" w:cstheme="minorEastAsia"/>
          <w:sz w:val="28"/>
          <w:szCs w:val="28"/>
        </w:rPr>
        <w:t>。</w:t>
      </w:r>
    </w:p>
    <w:p w14:paraId="4F27A6D7">
      <w:pPr>
        <w:spacing w:line="570" w:lineRule="exact"/>
        <w:jc w:val="both"/>
        <w:rPr>
          <w:rFonts w:ascii="宋体" w:hAnsi="宋体" w:eastAsia="宋体" w:cs="宋体"/>
          <w:sz w:val="28"/>
          <w:szCs w:val="28"/>
          <w:u w:val="single"/>
        </w:rPr>
      </w:pPr>
      <w:r>
        <w:drawing>
          <wp:anchor distT="0" distB="0" distL="114300" distR="114300" simplePos="0" relativeHeight="251662336" behindDoc="1" locked="0" layoutInCell="1" allowOverlap="1">
            <wp:simplePos x="0" y="0"/>
            <wp:positionH relativeFrom="column">
              <wp:posOffset>-516890</wp:posOffset>
            </wp:positionH>
            <wp:positionV relativeFrom="paragraph">
              <wp:posOffset>107950</wp:posOffset>
            </wp:positionV>
            <wp:extent cx="1424305" cy="1409065"/>
            <wp:effectExtent l="0" t="0" r="4445" b="635"/>
            <wp:wrapTight wrapText="bothSides">
              <wp:wrapPolygon>
                <wp:start x="0" y="0"/>
                <wp:lineTo x="0" y="21318"/>
                <wp:lineTo x="21379" y="21318"/>
                <wp:lineTo x="21379" y="0"/>
                <wp:lineTo x="0" y="0"/>
              </wp:wrapPolygon>
            </wp:wrapTight>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4"/>
                    <a:stretch>
                      <a:fillRect/>
                    </a:stretch>
                  </pic:blipFill>
                  <pic:spPr>
                    <a:xfrm>
                      <a:off x="0" y="0"/>
                      <a:ext cx="1424305" cy="1409065"/>
                    </a:xfrm>
                    <a:prstGeom prst="rect">
                      <a:avLst/>
                    </a:prstGeom>
                    <a:noFill/>
                    <a:ln>
                      <a:noFill/>
                    </a:ln>
                  </pic:spPr>
                </pic:pic>
              </a:graphicData>
            </a:graphic>
          </wp:anchor>
        </w:drawing>
      </w:r>
    </w:p>
    <w:p w14:paraId="5F35A458">
      <w:pPr>
        <w:spacing w:line="570" w:lineRule="exact"/>
        <w:jc w:val="both"/>
        <w:rPr>
          <w:rFonts w:hint="eastAsia" w:ascii="宋体" w:hAnsi="宋体" w:eastAsia="宋体" w:cs="宋体"/>
          <w:sz w:val="28"/>
          <w:szCs w:val="28"/>
          <w:u w:val="single"/>
          <w:lang w:eastAsia="zh-CN"/>
        </w:rPr>
      </w:pPr>
    </w:p>
    <w:p w14:paraId="4D04BE9E">
      <w:pPr>
        <w:spacing w:line="570" w:lineRule="exact"/>
        <w:jc w:val="both"/>
        <w:rPr>
          <w:rFonts w:ascii="宋体" w:hAnsi="宋体" w:eastAsia="宋体" w:cs="宋体"/>
          <w:sz w:val="28"/>
          <w:szCs w:val="28"/>
          <w:u w:val="single"/>
        </w:rPr>
      </w:pP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Segoe UI">
    <w:panose1 w:val="020B0502040204020203"/>
    <w:charset w:val="00"/>
    <w:family w:val="auto"/>
    <w:pitch w:val="default"/>
    <w:sig w:usb0="E4002EFF" w:usb1="C000E47F" w:usb2="00000009" w:usb3="00000000" w:csb0="200001FF"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75E67"/>
    <w:rsid w:val="00125DA0"/>
    <w:rsid w:val="00167AC6"/>
    <w:rsid w:val="00B57B36"/>
    <w:rsid w:val="00CD7376"/>
    <w:rsid w:val="00E03B4E"/>
    <w:rsid w:val="00E541D7"/>
    <w:rsid w:val="011B32B7"/>
    <w:rsid w:val="012F57C6"/>
    <w:rsid w:val="018650DF"/>
    <w:rsid w:val="021C29C7"/>
    <w:rsid w:val="024C6D90"/>
    <w:rsid w:val="02E10391"/>
    <w:rsid w:val="030B0B8D"/>
    <w:rsid w:val="070E6657"/>
    <w:rsid w:val="09077801"/>
    <w:rsid w:val="0A8721A0"/>
    <w:rsid w:val="0B7B2128"/>
    <w:rsid w:val="0B985CD3"/>
    <w:rsid w:val="0BB60147"/>
    <w:rsid w:val="0C0125B4"/>
    <w:rsid w:val="0C0E7291"/>
    <w:rsid w:val="0CD67C16"/>
    <w:rsid w:val="0D417786"/>
    <w:rsid w:val="0E9816ED"/>
    <w:rsid w:val="0F5906D0"/>
    <w:rsid w:val="10396E71"/>
    <w:rsid w:val="110C6174"/>
    <w:rsid w:val="11AA4406"/>
    <w:rsid w:val="11DE52CB"/>
    <w:rsid w:val="13074039"/>
    <w:rsid w:val="132D209C"/>
    <w:rsid w:val="1487397E"/>
    <w:rsid w:val="148D1503"/>
    <w:rsid w:val="150A3847"/>
    <w:rsid w:val="168C1DDB"/>
    <w:rsid w:val="16C136E5"/>
    <w:rsid w:val="16D93709"/>
    <w:rsid w:val="17410A7F"/>
    <w:rsid w:val="17740A9C"/>
    <w:rsid w:val="18E10F33"/>
    <w:rsid w:val="1991663E"/>
    <w:rsid w:val="19A76BC3"/>
    <w:rsid w:val="19B05D6B"/>
    <w:rsid w:val="1A0C35CC"/>
    <w:rsid w:val="1A525566"/>
    <w:rsid w:val="1A626F8D"/>
    <w:rsid w:val="1CE74D57"/>
    <w:rsid w:val="1D0A3B6C"/>
    <w:rsid w:val="1E22432A"/>
    <w:rsid w:val="1FE10954"/>
    <w:rsid w:val="205C18F7"/>
    <w:rsid w:val="206C2D49"/>
    <w:rsid w:val="20943C19"/>
    <w:rsid w:val="20BE4E97"/>
    <w:rsid w:val="20FF651B"/>
    <w:rsid w:val="2163678E"/>
    <w:rsid w:val="221A4D5F"/>
    <w:rsid w:val="237C10C0"/>
    <w:rsid w:val="23C4301C"/>
    <w:rsid w:val="246758CC"/>
    <w:rsid w:val="26576330"/>
    <w:rsid w:val="26897D83"/>
    <w:rsid w:val="2741574C"/>
    <w:rsid w:val="276E45FB"/>
    <w:rsid w:val="27AC72CB"/>
    <w:rsid w:val="28992024"/>
    <w:rsid w:val="28BE3B5A"/>
    <w:rsid w:val="28CB78AB"/>
    <w:rsid w:val="29A96C5C"/>
    <w:rsid w:val="2A1854EE"/>
    <w:rsid w:val="2C765212"/>
    <w:rsid w:val="2D077487"/>
    <w:rsid w:val="2D5C59D6"/>
    <w:rsid w:val="2E24482E"/>
    <w:rsid w:val="2E7E5FEB"/>
    <w:rsid w:val="2F4F58DB"/>
    <w:rsid w:val="305F608D"/>
    <w:rsid w:val="30AA01BC"/>
    <w:rsid w:val="30B56AE1"/>
    <w:rsid w:val="30CE55FA"/>
    <w:rsid w:val="31342FDA"/>
    <w:rsid w:val="32193F7E"/>
    <w:rsid w:val="32410F36"/>
    <w:rsid w:val="327E6635"/>
    <w:rsid w:val="32E904B6"/>
    <w:rsid w:val="3321133C"/>
    <w:rsid w:val="347A51A8"/>
    <w:rsid w:val="34A97795"/>
    <w:rsid w:val="34F0372B"/>
    <w:rsid w:val="3516702D"/>
    <w:rsid w:val="356B5D48"/>
    <w:rsid w:val="36257C7B"/>
    <w:rsid w:val="37E601A9"/>
    <w:rsid w:val="3A7A2C02"/>
    <w:rsid w:val="3B824495"/>
    <w:rsid w:val="3D124BF3"/>
    <w:rsid w:val="3D922FE7"/>
    <w:rsid w:val="3DF00187"/>
    <w:rsid w:val="3EE84C2D"/>
    <w:rsid w:val="3F220916"/>
    <w:rsid w:val="40176161"/>
    <w:rsid w:val="406C13C2"/>
    <w:rsid w:val="40C61775"/>
    <w:rsid w:val="412E457D"/>
    <w:rsid w:val="42EC1909"/>
    <w:rsid w:val="43315BEC"/>
    <w:rsid w:val="43AD1C7C"/>
    <w:rsid w:val="4486772E"/>
    <w:rsid w:val="44912C24"/>
    <w:rsid w:val="46503FBA"/>
    <w:rsid w:val="477C493B"/>
    <w:rsid w:val="47C03328"/>
    <w:rsid w:val="48350522"/>
    <w:rsid w:val="485E1147"/>
    <w:rsid w:val="486D512F"/>
    <w:rsid w:val="48D11361"/>
    <w:rsid w:val="48F422BB"/>
    <w:rsid w:val="4A7A6DBA"/>
    <w:rsid w:val="4C122427"/>
    <w:rsid w:val="4CCF04AD"/>
    <w:rsid w:val="4CD73773"/>
    <w:rsid w:val="4D1429F1"/>
    <w:rsid w:val="4D440E1C"/>
    <w:rsid w:val="4DC33073"/>
    <w:rsid w:val="4E3F7559"/>
    <w:rsid w:val="4ECE0172"/>
    <w:rsid w:val="4FDE7FB7"/>
    <w:rsid w:val="50804CA1"/>
    <w:rsid w:val="51085264"/>
    <w:rsid w:val="5115472E"/>
    <w:rsid w:val="513F33B9"/>
    <w:rsid w:val="51516E47"/>
    <w:rsid w:val="51DE7685"/>
    <w:rsid w:val="5268268C"/>
    <w:rsid w:val="529E6A24"/>
    <w:rsid w:val="54AB2D04"/>
    <w:rsid w:val="56794E67"/>
    <w:rsid w:val="58890AD2"/>
    <w:rsid w:val="59AC7302"/>
    <w:rsid w:val="5BD329C8"/>
    <w:rsid w:val="5CF93C67"/>
    <w:rsid w:val="5DC91F2A"/>
    <w:rsid w:val="5E202495"/>
    <w:rsid w:val="62920BC0"/>
    <w:rsid w:val="63403F67"/>
    <w:rsid w:val="637A7D59"/>
    <w:rsid w:val="639B14F1"/>
    <w:rsid w:val="64515E2E"/>
    <w:rsid w:val="64D61FAB"/>
    <w:rsid w:val="6531384D"/>
    <w:rsid w:val="65980929"/>
    <w:rsid w:val="662D47E5"/>
    <w:rsid w:val="66FA4C56"/>
    <w:rsid w:val="675776D9"/>
    <w:rsid w:val="68790CF7"/>
    <w:rsid w:val="69735746"/>
    <w:rsid w:val="69A739D7"/>
    <w:rsid w:val="6C56086E"/>
    <w:rsid w:val="6D30394E"/>
    <w:rsid w:val="6DBC2B14"/>
    <w:rsid w:val="6E9759F6"/>
    <w:rsid w:val="6EA272B5"/>
    <w:rsid w:val="71477FBE"/>
    <w:rsid w:val="73AC38AA"/>
    <w:rsid w:val="73C6500C"/>
    <w:rsid w:val="74083869"/>
    <w:rsid w:val="7424389C"/>
    <w:rsid w:val="758905C0"/>
    <w:rsid w:val="786A7F85"/>
    <w:rsid w:val="791505B4"/>
    <w:rsid w:val="7961108A"/>
    <w:rsid w:val="798821CF"/>
    <w:rsid w:val="7A7C6A82"/>
    <w:rsid w:val="7A8615E4"/>
    <w:rsid w:val="7B6A44CF"/>
    <w:rsid w:val="7D051392"/>
    <w:rsid w:val="7EC1633B"/>
    <w:rsid w:val="7EF011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5">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1"/>
    <w:autoRedefine/>
    <w:qFormat/>
    <w:uiPriority w:val="0"/>
    <w:pPr>
      <w:tabs>
        <w:tab w:val="center" w:pos="4153"/>
        <w:tab w:val="right" w:pos="8306"/>
      </w:tabs>
      <w:snapToGrid w:val="0"/>
      <w:jc w:val="left"/>
    </w:pPr>
    <w:rPr>
      <w:sz w:val="18"/>
      <w:szCs w:val="18"/>
    </w:rPr>
  </w:style>
  <w:style w:type="paragraph" w:styleId="10">
    <w:name w:val="header"/>
    <w:basedOn w:val="1"/>
    <w:link w:val="20"/>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
    <w:name w:val="标题4 Char"/>
    <w:link w:val="17"/>
    <w:autoRedefine/>
    <w:qFormat/>
    <w:locked/>
    <w:uiPriority w:val="0"/>
    <w:rPr>
      <w:rFonts w:eastAsia="宋体"/>
      <w:kern w:val="0"/>
      <w:sz w:val="36"/>
      <w:szCs w:val="20"/>
    </w:rPr>
  </w:style>
  <w:style w:type="paragraph" w:customStyle="1" w:styleId="17">
    <w:name w:val="标题4"/>
    <w:basedOn w:val="5"/>
    <w:link w:val="16"/>
    <w:autoRedefine/>
    <w:qFormat/>
    <w:uiPriority w:val="0"/>
    <w:rPr>
      <w:rFonts w:eastAsia="宋体"/>
      <w:kern w:val="0"/>
      <w:sz w:val="36"/>
      <w:szCs w:val="20"/>
    </w:rPr>
  </w:style>
  <w:style w:type="paragraph" w:customStyle="1" w:styleId="18">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9">
    <w:name w:val="WPSOffice手动目录 1"/>
    <w:autoRedefine/>
    <w:qFormat/>
    <w:uiPriority w:val="0"/>
    <w:rPr>
      <w:rFonts w:asciiTheme="minorHAnsi" w:hAnsiTheme="minorHAnsi" w:eastAsiaTheme="minorEastAsia" w:cstheme="minorBidi"/>
      <w:lang w:val="en-US" w:eastAsia="zh-CN" w:bidi="ar-SA"/>
    </w:rPr>
  </w:style>
  <w:style w:type="character" w:customStyle="1" w:styleId="20">
    <w:name w:val="页眉 字符"/>
    <w:basedOn w:val="15"/>
    <w:link w:val="10"/>
    <w:autoRedefine/>
    <w:qFormat/>
    <w:uiPriority w:val="0"/>
    <w:rPr>
      <w:rFonts w:asciiTheme="minorHAnsi" w:hAnsiTheme="minorHAnsi" w:eastAsiaTheme="minorEastAsia" w:cstheme="minorBidi"/>
      <w:kern w:val="2"/>
      <w:sz w:val="18"/>
      <w:szCs w:val="18"/>
    </w:rPr>
  </w:style>
  <w:style w:type="character" w:customStyle="1" w:styleId="21">
    <w:name w:val="页脚 字符"/>
    <w:basedOn w:val="15"/>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6552</Words>
  <Characters>6886</Characters>
  <Lines>59</Lines>
  <Paragraphs>16</Paragraphs>
  <TotalTime>9</TotalTime>
  <ScaleCrop>false</ScaleCrop>
  <LinksUpToDate>false</LinksUpToDate>
  <CharactersWithSpaces>7312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是你啊</cp:lastModifiedBy>
  <cp:lastPrinted>2025-10-28T06:49:00Z</cp:lastPrinted>
  <dcterms:modified xsi:type="dcterms:W3CDTF">2026-10-16T07:21:52Z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A4FD631AEA6646C7A52650D2D3165844_13</vt:lpwstr>
  </property>
  <property fmtid="{D5CDD505-2E9C-101B-9397-08002B2CF9AE}" pid="4" name="KSOTemplateDocerSaveRecord">
    <vt:lpwstr>eyJoZGlkIjoiZGE3YzNmNDc4MmY3ODM0ZWU3N2IyNWVlMDU2NTU4NDkiLCJ1c2VySWQiOiIxNzg2NTUyNDIyIn0=</vt:lpwstr>
  </property>
</Properties>
</file>