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4DB7F2">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4169BD3C">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0507B979">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49888129">
      <w:pPr>
        <w:pStyle w:val="6"/>
        <w:ind w:firstLine="0"/>
        <w:jc w:val="left"/>
        <w:rPr>
          <w:rFonts w:ascii="仿宋_GB2312" w:hAnsi="仿宋_GB2312" w:eastAsia="仿宋_GB2312" w:cs="仿宋_GB2312"/>
          <w:color w:val="000000"/>
          <w:sz w:val="30"/>
          <w:szCs w:val="30"/>
        </w:rPr>
      </w:pPr>
    </w:p>
    <w:p w14:paraId="73FDBE45">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2E8EBF3">
      <w:pPr>
        <w:pStyle w:val="6"/>
        <w:ind w:firstLine="0"/>
        <w:jc w:val="left"/>
        <w:rPr>
          <w:rFonts w:ascii="仿宋_GB2312" w:hAnsi="仿宋_GB2312" w:eastAsia="仿宋_GB2312" w:cs="仿宋_GB2312"/>
          <w:color w:val="000000"/>
          <w:sz w:val="30"/>
          <w:szCs w:val="30"/>
        </w:rPr>
      </w:pPr>
    </w:p>
    <w:p w14:paraId="0B4321B1">
      <w:pPr>
        <w:pStyle w:val="6"/>
        <w:jc w:val="left"/>
        <w:rPr>
          <w:rFonts w:ascii="仿宋_GB2312" w:hAnsi="仿宋_GB2312" w:eastAsia="仿宋_GB2312" w:cs="仿宋_GB2312"/>
          <w:color w:val="000000"/>
          <w:sz w:val="30"/>
          <w:szCs w:val="30"/>
        </w:rPr>
      </w:pPr>
    </w:p>
    <w:p w14:paraId="1F5E25A4">
      <w:pPr>
        <w:pStyle w:val="6"/>
        <w:jc w:val="left"/>
        <w:rPr>
          <w:rFonts w:ascii="仿宋_GB2312" w:hAnsi="仿宋_GB2312" w:eastAsia="仿宋_GB2312" w:cs="仿宋_GB2312"/>
          <w:color w:val="000000"/>
          <w:sz w:val="30"/>
          <w:szCs w:val="30"/>
        </w:rPr>
      </w:pPr>
    </w:p>
    <w:p w14:paraId="426744E5">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D38C47E">
      <w:pPr>
        <w:pStyle w:val="6"/>
        <w:ind w:firstLine="0"/>
        <w:jc w:val="left"/>
        <w:rPr>
          <w:rFonts w:ascii="仿宋_GB2312" w:hAnsi="仿宋_GB2312" w:eastAsia="仿宋_GB2312" w:cs="仿宋_GB2312"/>
          <w:color w:val="000000"/>
          <w:sz w:val="30"/>
          <w:szCs w:val="30"/>
        </w:rPr>
      </w:pPr>
    </w:p>
    <w:p w14:paraId="65F221F6">
      <w:pPr>
        <w:pStyle w:val="6"/>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E21C690">
      <w:pPr>
        <w:pStyle w:val="6"/>
        <w:jc w:val="left"/>
        <w:rPr>
          <w:rFonts w:ascii="仿宋_GB2312" w:hAnsi="仿宋_GB2312" w:eastAsia="仿宋_GB2312" w:cs="仿宋_GB2312"/>
          <w:color w:val="000000"/>
          <w:sz w:val="30"/>
          <w:szCs w:val="30"/>
        </w:rPr>
      </w:pPr>
    </w:p>
    <w:p w14:paraId="5309DF68">
      <w:pPr>
        <w:pStyle w:val="6"/>
        <w:jc w:val="left"/>
        <w:rPr>
          <w:rFonts w:ascii="仿宋_GB2312" w:hAnsi="仿宋_GB2312" w:eastAsia="仿宋_GB2312" w:cs="仿宋_GB2312"/>
          <w:color w:val="000000"/>
          <w:sz w:val="30"/>
          <w:szCs w:val="30"/>
        </w:rPr>
      </w:pPr>
    </w:p>
    <w:p w14:paraId="5FE63F90">
      <w:pPr>
        <w:pStyle w:val="6"/>
        <w:jc w:val="left"/>
        <w:rPr>
          <w:rFonts w:ascii="仿宋_GB2312" w:hAnsi="仿宋_GB2312" w:eastAsia="仿宋_GB2312" w:cs="仿宋_GB2312"/>
          <w:color w:val="000000"/>
          <w:sz w:val="30"/>
          <w:szCs w:val="30"/>
        </w:rPr>
      </w:pPr>
    </w:p>
    <w:p w14:paraId="5C162833">
      <w:pPr>
        <w:pStyle w:val="6"/>
        <w:jc w:val="left"/>
        <w:rPr>
          <w:rFonts w:ascii="仿宋_GB2312" w:hAnsi="仿宋_GB2312" w:eastAsia="仿宋_GB2312" w:cs="仿宋_GB2312"/>
          <w:color w:val="000000"/>
          <w:sz w:val="30"/>
          <w:szCs w:val="30"/>
        </w:rPr>
      </w:pPr>
    </w:p>
    <w:p w14:paraId="70AE65A4">
      <w:pPr>
        <w:pStyle w:val="6"/>
        <w:jc w:val="left"/>
        <w:rPr>
          <w:rFonts w:ascii="仿宋_GB2312" w:hAnsi="仿宋_GB2312" w:eastAsia="仿宋_GB2312" w:cs="仿宋_GB2312"/>
          <w:color w:val="000000"/>
          <w:sz w:val="30"/>
          <w:szCs w:val="30"/>
        </w:rPr>
      </w:pPr>
    </w:p>
    <w:p w14:paraId="36AF397D">
      <w:pPr>
        <w:pStyle w:val="6"/>
        <w:jc w:val="left"/>
        <w:rPr>
          <w:rFonts w:ascii="仿宋_GB2312" w:hAnsi="仿宋_GB2312" w:eastAsia="仿宋_GB2312" w:cs="仿宋_GB2312"/>
          <w:color w:val="000000"/>
          <w:sz w:val="30"/>
          <w:szCs w:val="30"/>
        </w:rPr>
      </w:pPr>
    </w:p>
    <w:p w14:paraId="300EDA70">
      <w:pPr>
        <w:pStyle w:val="6"/>
        <w:jc w:val="left"/>
        <w:rPr>
          <w:rFonts w:ascii="仿宋_GB2312" w:hAnsi="仿宋_GB2312" w:eastAsia="仿宋_GB2312" w:cs="仿宋_GB2312"/>
          <w:color w:val="000000"/>
          <w:sz w:val="30"/>
          <w:szCs w:val="30"/>
        </w:rPr>
      </w:pPr>
    </w:p>
    <w:p w14:paraId="72882978">
      <w:pPr>
        <w:pStyle w:val="6"/>
        <w:jc w:val="left"/>
        <w:rPr>
          <w:rFonts w:ascii="仿宋_GB2312" w:hAnsi="仿宋_GB2312" w:eastAsia="仿宋_GB2312" w:cs="仿宋_GB2312"/>
          <w:color w:val="000000"/>
          <w:sz w:val="30"/>
          <w:szCs w:val="30"/>
        </w:rPr>
      </w:pPr>
    </w:p>
    <w:p w14:paraId="1952BB09">
      <w:pPr>
        <w:jc w:val="left"/>
        <w:sectPr>
          <w:footerReference r:id="rId3" w:type="default"/>
          <w:pgSz w:w="11906" w:h="16838"/>
          <w:pgMar w:top="1440" w:right="1800" w:bottom="1440" w:left="1800" w:header="851" w:footer="992" w:gutter="0"/>
          <w:cols w:space="425" w:num="1"/>
          <w:docGrid w:type="lines" w:linePitch="312" w:charSpace="0"/>
        </w:sectPr>
      </w:pPr>
    </w:p>
    <w:p w14:paraId="6207068B">
      <w:pPr>
        <w:pStyle w:val="3"/>
        <w:spacing w:line="240" w:lineRule="auto"/>
        <w:rPr>
          <w:rFonts w:ascii="黑体" w:hAnsi="黑体"/>
          <w:color w:val="000000"/>
        </w:rPr>
      </w:pPr>
      <w:bookmarkStart w:id="1" w:name="_Toc21762"/>
      <w:bookmarkStart w:id="2" w:name="_Toc24454"/>
      <w:bookmarkStart w:id="3" w:name="_Toc15737"/>
      <w:bookmarkStart w:id="4" w:name="_Toc21422"/>
      <w:bookmarkStart w:id="5" w:name="_Toc32320"/>
      <w:bookmarkStart w:id="6" w:name="_Toc20910"/>
      <w:bookmarkStart w:id="7" w:name="_Toc11918"/>
      <w:bookmarkStart w:id="8" w:name="_Toc8396"/>
      <w:bookmarkStart w:id="9" w:name="_Toc13462"/>
      <w:bookmarkStart w:id="10" w:name="_Toc29002"/>
      <w:bookmarkStart w:id="11" w:name="_Toc24727"/>
      <w:bookmarkStart w:id="12" w:name="_Toc25712"/>
      <w:bookmarkStart w:id="13" w:name="_Toc12789"/>
      <w:bookmarkStart w:id="14" w:name="_Toc24068"/>
      <w:bookmarkStart w:id="15" w:name="_Toc20033"/>
      <w:bookmarkStart w:id="16" w:name="_Toc7615"/>
      <w:r>
        <w:rPr>
          <w:rFonts w:hint="eastAsia" w:ascii="黑体" w:hAnsi="黑体"/>
          <w:color w:val="000000"/>
        </w:rPr>
        <w:t>网络竞价须知</w:t>
      </w:r>
      <w:bookmarkEnd w:id="1"/>
      <w:bookmarkEnd w:id="2"/>
      <w:bookmarkEnd w:id="3"/>
      <w:bookmarkEnd w:id="4"/>
      <w:bookmarkEnd w:id="5"/>
      <w:bookmarkEnd w:id="6"/>
      <w:bookmarkEnd w:id="7"/>
    </w:p>
    <w:p w14:paraId="5B3AB3E4">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海南省临高县和舍镇罗忱村集体经济组织20908羽银羽王种鸽及肉鸽出售</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cs="新宋体"/>
          <w:color w:val="auto"/>
          <w:sz w:val="28"/>
          <w:szCs w:val="28"/>
          <w:highlight w:val="none"/>
        </w:rPr>
        <w:fldChar w:fldCharType="begin"/>
      </w:r>
      <w:r>
        <w:rPr>
          <w:rFonts w:hint="eastAsia" w:ascii="新宋体" w:hAnsi="新宋体" w:eastAsia="新宋体" w:cs="新宋体"/>
          <w:sz w:val="28"/>
          <w:szCs w:val="28"/>
          <w:highlight w:val="none"/>
        </w:rPr>
        <w:instrText xml:space="preserve"> HYPERLINK \l _Toc17598 </w:instrText>
      </w:r>
      <w:r>
        <w:rPr>
          <w:rFonts w:hint="eastAsia" w:ascii="新宋体" w:hAnsi="新宋体" w:eastAsia="新宋体" w:cs="新宋体"/>
          <w:sz w:val="28"/>
          <w:szCs w:val="28"/>
          <w:highlight w:val="none"/>
        </w:rPr>
        <w:fldChar w:fldCharType="separate"/>
      </w:r>
      <w:r>
        <w:rPr>
          <w:rFonts w:hint="eastAsia" w:ascii="新宋体" w:hAnsi="新宋体" w:eastAsia="新宋体" w:cs="新宋体"/>
          <w:kern w:val="0"/>
          <w:sz w:val="28"/>
          <w:szCs w:val="28"/>
          <w:highlight w:val="none"/>
          <w:lang w:val="en-US" w:eastAsia="zh-CN"/>
        </w:rPr>
        <w:t>临高农村产权交易中心</w:t>
      </w:r>
      <w:r>
        <w:rPr>
          <w:rFonts w:hint="eastAsia" w:ascii="新宋体" w:hAnsi="新宋体" w:eastAsia="新宋体" w:cs="新宋体"/>
          <w:kern w:val="0"/>
          <w:sz w:val="28"/>
          <w:szCs w:val="28"/>
          <w:highlight w:val="none"/>
        </w:rPr>
        <w:t>农村产权交易规则（试行）</w:t>
      </w:r>
      <w:r>
        <w:rPr>
          <w:rFonts w:hint="eastAsia" w:ascii="新宋体" w:hAnsi="新宋体" w:eastAsia="新宋体" w:cs="新宋体"/>
          <w:color w:val="auto"/>
          <w:sz w:val="28"/>
          <w:szCs w:val="28"/>
          <w:highlight w:val="none"/>
        </w:rPr>
        <w:fldChar w:fldCharType="end"/>
      </w:r>
      <w:r>
        <w:rPr>
          <w:rFonts w:hint="eastAsia" w:ascii="新宋体" w:hAnsi="新宋体" w:eastAsia="新宋体"/>
          <w:sz w:val="28"/>
          <w:szCs w:val="28"/>
        </w:rPr>
        <w:t>》、《</w:t>
      </w:r>
      <w:r>
        <w:rPr>
          <w:rFonts w:hint="eastAsia" w:ascii="新宋体" w:hAnsi="新宋体" w:eastAsia="新宋体" w:cs="新宋体"/>
          <w:bCs w:val="0"/>
          <w:kern w:val="0"/>
          <w:sz w:val="28"/>
          <w:szCs w:val="28"/>
          <w:highlight w:val="none"/>
          <w:lang w:val="en-US" w:eastAsia="zh-CN"/>
        </w:rPr>
        <w:t>临高农村产权交易中心</w:t>
      </w:r>
      <w:r>
        <w:rPr>
          <w:rFonts w:hint="eastAsia" w:ascii="新宋体" w:hAnsi="新宋体" w:eastAsia="新宋体" w:cs="新宋体"/>
          <w:bCs w:val="0"/>
          <w:kern w:val="0"/>
          <w:sz w:val="28"/>
          <w:szCs w:val="28"/>
          <w:highlight w:val="none"/>
        </w:rPr>
        <w:t>网络竞价实施办法（试行）</w:t>
      </w:r>
      <w:r>
        <w:rPr>
          <w:rFonts w:hint="eastAsia" w:ascii="新宋体" w:hAnsi="新宋体" w:eastAsia="新宋体"/>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临高农村产权交易中心(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lingao</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w:t>
      </w:r>
      <w:r>
        <w:rPr>
          <w:rFonts w:hint="eastAsia" w:ascii="新宋体" w:hAnsi="新宋体" w:eastAsia="新宋体" w:cs="Times New Roman"/>
          <w:sz w:val="28"/>
          <w:szCs w:val="28"/>
          <w:lang w:val="en-US" w:eastAsia="zh-CN"/>
        </w:rPr>
        <w:t>发包</w:t>
      </w:r>
      <w:r>
        <w:rPr>
          <w:rFonts w:hint="eastAsia" w:ascii="新宋体" w:hAnsi="新宋体" w:eastAsia="新宋体" w:cs="Times New Roman"/>
          <w:sz w:val="28"/>
          <w:szCs w:val="28"/>
        </w:rPr>
        <w:t>（转让）方提供，竞买申请方在提交竞买报名之前，应对所竞买的项目标的有关情况及瑕疵已做了全面的了解，竞买方如对交易须知、交易规则、交易公告等交易文件有疑问的，可向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47DB85A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有关交易规则和交易须知。</w:t>
      </w:r>
    </w:p>
    <w:p w14:paraId="2E260CF6">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27日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eastAsia="zh-CN"/>
        </w:rPr>
        <w:t>农交中心</w:t>
      </w:r>
      <w:r>
        <w:rPr>
          <w:rFonts w:hint="eastAsia" w:ascii="新宋体" w:hAnsi="新宋体" w:eastAsia="新宋体" w:cs="Times New Roman"/>
          <w:b/>
          <w:bCs/>
          <w:color w:val="C00000"/>
          <w:sz w:val="28"/>
          <w:szCs w:val="28"/>
          <w:lang w:val="en-US" w:eastAsia="zh-CN"/>
        </w:rPr>
        <w:t>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审核通过后，交纳交易保证金（</w:t>
      </w:r>
      <w:r>
        <w:rPr>
          <w:rFonts w:hint="eastAsia" w:ascii="新宋体" w:hAnsi="新宋体" w:eastAsia="新宋体" w:cs="Times New Roman"/>
          <w:sz w:val="28"/>
          <w:szCs w:val="28"/>
          <w:lang w:val="en-US" w:eastAsia="zh-CN"/>
        </w:rPr>
        <w:t>165000元</w:t>
      </w:r>
      <w:r>
        <w:rPr>
          <w:rFonts w:hint="eastAsia" w:ascii="新宋体" w:hAnsi="新宋体" w:eastAsia="新宋体" w:cs="Times New Roman"/>
          <w:sz w:val="28"/>
          <w:szCs w:val="28"/>
        </w:rPr>
        <w:t>），</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eastAsia="zh-CN"/>
        </w:rPr>
        <w:t>农交中心</w:t>
      </w:r>
      <w:r>
        <w:rPr>
          <w:rFonts w:hint="eastAsia" w:ascii="新宋体" w:hAnsi="新宋体" w:eastAsia="新宋体" w:cs="Times New Roman"/>
          <w:b/>
          <w:bCs/>
          <w:color w:val="C00000"/>
          <w:sz w:val="28"/>
          <w:szCs w:val="28"/>
          <w:lang w:val="en-US" w:eastAsia="zh-CN"/>
        </w:rPr>
        <w:t>网站</w:t>
      </w:r>
      <w:r>
        <w:rPr>
          <w:rFonts w:hint="eastAsia" w:ascii="新宋体" w:hAnsi="新宋体" w:eastAsia="新宋体" w:cs="Times New Roman"/>
          <w:b/>
          <w:bCs/>
          <w:color w:val="C00000"/>
          <w:sz w:val="28"/>
          <w:szCs w:val="28"/>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411"/>
      </w:tblGrid>
      <w:tr w14:paraId="1722805F">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eastAsia="zh-CN"/>
              </w:rPr>
              <w:t>临高县农村产权交易中心</w:t>
            </w:r>
            <w:r>
              <w:rPr>
                <w:rFonts w:hint="eastAsia" w:ascii="仿宋_GB2312" w:hAnsi="仿宋_GB2312" w:eastAsia="仿宋_GB2312" w:cs="仿宋_GB2312"/>
                <w:b/>
                <w:bCs/>
                <w:sz w:val="28"/>
                <w:szCs w:val="28"/>
              </w:rPr>
              <w:t>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rPr>
              <w:t>海南农村商业银行股份有限公司临高</w:t>
            </w:r>
            <w:r>
              <w:rPr>
                <w:rFonts w:hint="eastAsia" w:ascii="仿宋_GB2312" w:hAnsi="仿宋_GB2312" w:eastAsia="仿宋_GB2312" w:cs="仿宋_GB2312"/>
                <w:b/>
                <w:bCs/>
                <w:sz w:val="28"/>
                <w:szCs w:val="28"/>
                <w:lang w:val="en-US" w:eastAsia="zh-CN"/>
              </w:rPr>
              <w:t>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1020189500000273</w:t>
            </w:r>
          </w:p>
        </w:tc>
      </w:tr>
    </w:tbl>
    <w:p w14:paraId="62FA12F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提出更新申请，否则由此引起的经济及法律责任均由竞买方自行承担。</w:t>
      </w:r>
    </w:p>
    <w:p w14:paraId="6B463B7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lingao</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02FD8526">
      <w:pPr>
        <w:spacing w:line="520" w:lineRule="exact"/>
        <w:ind w:firstLine="562" w:firstLineChars="200"/>
        <w:jc w:val="left"/>
        <w:rPr>
          <w:rFonts w:hint="eastAsia" w:ascii="新宋体" w:hAnsi="新宋体" w:eastAsia="新宋体" w:cs="Times New Roman"/>
          <w:b/>
          <w:bCs/>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818463</w:t>
      </w:r>
      <w:r>
        <w:rPr>
          <w:rFonts w:hint="eastAsia" w:ascii="新宋体" w:hAnsi="新宋体" w:eastAsia="新宋体" w:cs="Times New Roman"/>
          <w:b/>
          <w:bCs/>
          <w:sz w:val="28"/>
          <w:szCs w:val="28"/>
          <w:lang w:val="en-US" w:eastAsia="zh-CN"/>
        </w:rPr>
        <w:t>元（总价）。</w:t>
      </w:r>
    </w:p>
    <w:p w14:paraId="413AF676">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2、</w:t>
      </w:r>
      <w:r>
        <w:rPr>
          <w:rFonts w:hint="eastAsia" w:ascii="新宋体" w:hAnsi="新宋体" w:eastAsia="新宋体" w:cs="Times New Roman"/>
          <w:b/>
          <w:bCs/>
          <w:sz w:val="28"/>
          <w:szCs w:val="28"/>
        </w:rPr>
        <w:t>本次网络竞价采用竞价方式（</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rPr>
        <w:t>阶梯竞价、</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rPr>
        <w:t>自由竞价）。</w:t>
      </w:r>
    </w:p>
    <w:p w14:paraId="374D2FC2">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3、</w:t>
      </w:r>
      <w:r>
        <w:rPr>
          <w:rFonts w:hint="eastAsia" w:ascii="新宋体" w:hAnsi="新宋体" w:eastAsia="新宋体" w:cs="Times New Roman"/>
          <w:b/>
          <w:bCs/>
          <w:sz w:val="28"/>
          <w:szCs w:val="28"/>
        </w:rPr>
        <w:t>竞买方接受</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（转让）方确定的交易条件，通过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的网络竞价系统进行动态递增（减）报价，将报价最高者确定为</w:t>
      </w:r>
      <w:r>
        <w:rPr>
          <w:rFonts w:hint="eastAsia" w:ascii="新宋体" w:hAnsi="新宋体" w:eastAsia="新宋体" w:cs="Times New Roman"/>
          <w:b/>
          <w:bCs/>
          <w:sz w:val="28"/>
          <w:szCs w:val="28"/>
          <w:lang w:eastAsia="zh-CN"/>
        </w:rPr>
        <w:t>承包</w:t>
      </w:r>
      <w:r>
        <w:rPr>
          <w:rFonts w:hint="eastAsia" w:ascii="新宋体" w:hAnsi="新宋体" w:eastAsia="新宋体" w:cs="Times New Roman"/>
          <w:b/>
          <w:bCs/>
          <w:sz w:val="28"/>
          <w:szCs w:val="28"/>
        </w:rPr>
        <w:t>（受让）方的竞价方式（反向竞价以报价最低者确定为</w:t>
      </w:r>
      <w:r>
        <w:rPr>
          <w:rFonts w:hint="eastAsia" w:ascii="新宋体" w:hAnsi="新宋体" w:eastAsia="新宋体" w:cs="Times New Roman"/>
          <w:b/>
          <w:bCs/>
          <w:sz w:val="28"/>
          <w:szCs w:val="28"/>
          <w:lang w:eastAsia="zh-CN"/>
        </w:rPr>
        <w:t>承包</w:t>
      </w:r>
      <w:r>
        <w:rPr>
          <w:rFonts w:hint="eastAsia" w:ascii="新宋体" w:hAnsi="新宋体" w:eastAsia="新宋体" w:cs="Times New Roman"/>
          <w:b/>
          <w:bCs/>
          <w:sz w:val="28"/>
          <w:szCs w:val="28"/>
        </w:rPr>
        <w:t>（受让）方）。</w:t>
      </w:r>
    </w:p>
    <w:p w14:paraId="78BF1BB1">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rPr>
        <w:t>4、本次竞价加（减）价阶梯为人民币：100元的整数倍（至少100元）。</w:t>
      </w:r>
    </w:p>
    <w:p w14:paraId="66DBDF05">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10-28日</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当即与</w:t>
      </w:r>
      <w:r>
        <w:rPr>
          <w:rFonts w:hint="eastAsia" w:ascii="新宋体" w:hAnsi="新宋体" w:eastAsia="新宋体" w:cs="Times New Roman"/>
          <w:sz w:val="28"/>
          <w:szCs w:val="28"/>
          <w:lang w:eastAsia="zh-CN"/>
        </w:rPr>
        <w:t>发包</w:t>
      </w:r>
      <w:r>
        <w:rPr>
          <w:rFonts w:hint="eastAsia" w:ascii="新宋体" w:hAnsi="新宋体" w:eastAsia="新宋体" w:cs="Times New Roman"/>
          <w:sz w:val="28"/>
          <w:szCs w:val="28"/>
        </w:rPr>
        <w:t>（转让）方协商后续方案，并将结果及时通知各竞买方，</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将按照</w:t>
      </w:r>
      <w:r>
        <w:rPr>
          <w:rFonts w:hint="eastAsia" w:ascii="新宋体" w:hAnsi="新宋体" w:eastAsia="新宋体" w:cs="Times New Roman"/>
          <w:sz w:val="28"/>
          <w:szCs w:val="28"/>
          <w:lang w:eastAsia="zh-CN"/>
        </w:rPr>
        <w:t>发包</w:t>
      </w:r>
      <w:r>
        <w:rPr>
          <w:rFonts w:hint="eastAsia" w:ascii="新宋体" w:hAnsi="新宋体" w:eastAsia="新宋体" w:cs="Times New Roman"/>
          <w:sz w:val="28"/>
          <w:szCs w:val="28"/>
        </w:rPr>
        <w:t>（转让）方要求的时间和方式继续竞价或重新竞价，</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通知各竞买方。</w:t>
      </w:r>
    </w:p>
    <w:p w14:paraId="0FB834E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可以根据相关约定重新组织实施竞价或再次发布转让信息公告。</w:t>
      </w:r>
    </w:p>
    <w:p w14:paraId="63C0E13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2CA4078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（转让）方的身份参与竞价交易活动的。</w:t>
      </w:r>
    </w:p>
    <w:p w14:paraId="3563429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eastAsia="zh-CN"/>
              </w:rPr>
              <w:t>临高县农村产权交易中心</w:t>
            </w:r>
            <w:r>
              <w:rPr>
                <w:rFonts w:hint="eastAsia" w:asciiTheme="minorEastAsia" w:hAnsiTheme="minorEastAsia" w:cstheme="minorEastAsia"/>
                <w:b/>
                <w:bCs/>
                <w:sz w:val="28"/>
                <w:szCs w:val="28"/>
              </w:rPr>
              <w:t>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spacing w:line="520" w:lineRule="exact"/>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rPr>
              <w:t>海南农村商业银行股份有限公司临高</w:t>
            </w:r>
            <w:r>
              <w:rPr>
                <w:rFonts w:hint="eastAsia" w:asciiTheme="minorEastAsia" w:hAnsiTheme="minorEastAsia" w:cstheme="minorEastAsia"/>
                <w:b/>
                <w:bCs/>
                <w:sz w:val="28"/>
                <w:szCs w:val="28"/>
                <w:lang w:val="en-US" w:eastAsia="zh-CN"/>
              </w:rPr>
              <w:t>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spacing w:line="520" w:lineRule="exact"/>
              <w:jc w:val="center"/>
              <w:rPr>
                <w:rFonts w:hint="default" w:asciiTheme="minorEastAsia" w:hAnsiTheme="minorEastAsia" w:cstheme="minorEastAsia"/>
                <w:b/>
                <w:bCs/>
                <w:sz w:val="28"/>
                <w:szCs w:val="28"/>
                <w:lang w:val="en-US"/>
              </w:rPr>
            </w:pPr>
            <w:r>
              <w:rPr>
                <w:rFonts w:hint="eastAsia" w:ascii="仿宋_GB2312" w:hAnsi="仿宋_GB2312" w:eastAsia="仿宋_GB2312" w:cs="仿宋_GB2312"/>
                <w:b/>
                <w:bCs/>
                <w:sz w:val="28"/>
                <w:szCs w:val="28"/>
                <w:lang w:val="en-US" w:eastAsia="zh-CN"/>
              </w:rPr>
              <w:t>1020189500000130</w:t>
            </w:r>
          </w:p>
        </w:tc>
      </w:tr>
    </w:tbl>
    <w:p w14:paraId="0D1E659A">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eastAsia="zh-CN"/>
        </w:rPr>
        <w:t>临高农村产权交易中心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087C1B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5C6B7A62">
      <w:pPr>
        <w:spacing w:line="520" w:lineRule="exact"/>
        <w:ind w:firstLine="560" w:firstLineChars="200"/>
        <w:rPr>
          <w:rFonts w:hint="eastAsia"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有权根据相关法律、法规进行变更和修订。</w:t>
      </w:r>
    </w:p>
    <w:p w14:paraId="0F038479">
      <w:pPr>
        <w:bidi w:val="0"/>
      </w:pPr>
    </w:p>
    <w:p w14:paraId="7C6A48B4">
      <w:pPr>
        <w:spacing w:line="520" w:lineRule="exact"/>
      </w:pPr>
      <w:r>
        <w:rPr>
          <w:rFonts w:hint="eastAsia" w:ascii="Times New Roman" w:hAnsi="Times New Roman"/>
          <w:sz w:val="32"/>
          <w:szCs w:val="32"/>
        </w:rPr>
        <w:t>已详细阅读此竞价须知，对此竞价须知无异议。</w:t>
      </w:r>
    </w:p>
    <w:p w14:paraId="23240C30">
      <w:pPr>
        <w:spacing w:line="520" w:lineRule="exact"/>
        <w:ind w:firstLine="3200" w:firstLineChars="1000"/>
        <w:rPr>
          <w:rFonts w:hint="eastAsia" w:ascii="Times New Roman" w:hAnsi="Times New Roman"/>
          <w:sz w:val="32"/>
          <w:szCs w:val="32"/>
        </w:rPr>
      </w:pPr>
    </w:p>
    <w:p w14:paraId="3904B635">
      <w:pPr>
        <w:spacing w:line="520" w:lineRule="exact"/>
        <w:ind w:firstLine="3200" w:firstLineChars="1000"/>
        <w:rPr>
          <w:rFonts w:hint="eastAsia" w:ascii="Times New Roman" w:hAnsi="Times New Roman"/>
          <w:sz w:val="32"/>
          <w:szCs w:val="32"/>
        </w:rPr>
      </w:pPr>
      <w:r>
        <w:rPr>
          <w:rFonts w:hint="eastAsia" w:ascii="Times New Roman" w:hAnsi="Times New Roman"/>
          <w:sz w:val="32"/>
          <w:szCs w:val="32"/>
        </w:rPr>
        <w:t>签字（盖章）确认：</w:t>
      </w:r>
    </w:p>
    <w:p w14:paraId="23B6C5FB">
      <w:pPr>
        <w:spacing w:line="520" w:lineRule="exact"/>
        <w:ind w:firstLine="3200" w:firstLineChars="1000"/>
        <w:rPr>
          <w:rFonts w:ascii="黑体" w:hAnsi="黑体"/>
          <w:color w:val="000000"/>
        </w:rPr>
      </w:pPr>
      <w:r>
        <w:rPr>
          <w:rFonts w:hint="eastAsia" w:ascii="Times New Roman" w:hAnsi="Times New Roman" w:eastAsiaTheme="minorEastAsia" w:cstheme="minorBidi"/>
          <w:b w:val="0"/>
          <w:kern w:val="2"/>
          <w:sz w:val="32"/>
          <w:szCs w:val="32"/>
          <w:lang w:val="en-US" w:eastAsia="zh-CN" w:bidi="ar-SA"/>
        </w:rPr>
        <w:t>日期：     年     月   日</w:t>
      </w:r>
    </w:p>
    <w:p w14:paraId="763E172D">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15AB0BC9">
      <w:pPr>
        <w:pStyle w:val="3"/>
        <w:spacing w:line="240" w:lineRule="auto"/>
        <w:jc w:val="center"/>
        <w:rPr>
          <w:rStyle w:val="15"/>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临高农村产权交易中心</w:t>
      </w:r>
      <w:r>
        <w:rPr>
          <w:rFonts w:hint="eastAsia" w:ascii="Times New Roman" w:hAnsi="Times New Roman"/>
          <w:sz w:val="28"/>
          <w:szCs w:val="28"/>
        </w:rPr>
        <w:t>：</w:t>
      </w:r>
    </w:p>
    <w:p w14:paraId="39B3019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海南省临高县和舍镇罗忱村集体经济组织20908羽银羽王种鸽及肉鸽出售</w:t>
      </w:r>
      <w:r>
        <w:rPr>
          <w:rFonts w:ascii="Times New Roman" w:hAnsi="Times New Roman"/>
          <w:sz w:val="28"/>
          <w:szCs w:val="28"/>
        </w:rPr>
        <w:t>”</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海南省临高县和舍镇罗忱村集体经济组织20908羽银羽王种鸽及肉鸽出售</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海南省临高县和舍镇罗忱村集体经济组织20908羽银羽王种鸽及肉鸽出售</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临高农村产权交易中心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w:t>
      </w:r>
      <w:r>
        <w:rPr>
          <w:rFonts w:hint="eastAsia" w:ascii="Times New Roman" w:hAnsi="Times New Roman"/>
          <w:sz w:val="28"/>
          <w:szCs w:val="28"/>
          <w:lang w:eastAsia="zh-CN"/>
        </w:rPr>
        <w:t>发包</w:t>
      </w:r>
      <w:r>
        <w:rPr>
          <w:rFonts w:hint="eastAsia" w:ascii="Times New Roman" w:hAnsi="Times New Roman"/>
          <w:sz w:val="28"/>
          <w:szCs w:val="28"/>
        </w:rPr>
        <w:t>（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临高农村产权交易中心</w:t>
      </w:r>
      <w:r>
        <w:rPr>
          <w:rFonts w:hint="eastAsia" w:ascii="新宋体" w:hAnsi="新宋体" w:eastAsia="新宋体" w:cs="Times New Roman"/>
          <w:sz w:val="28"/>
          <w:szCs w:val="28"/>
          <w:lang w:val="en-US" w:eastAsia="zh-CN"/>
        </w:rPr>
        <w:t>（以下简称“农交中心”）网站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lingao</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w:t>
      </w:r>
      <w:r>
        <w:rPr>
          <w:rFonts w:hint="eastAsia" w:ascii="Times New Roman" w:hAnsi="Times New Roman"/>
          <w:sz w:val="28"/>
          <w:szCs w:val="28"/>
          <w:lang w:eastAsia="zh-CN"/>
        </w:rPr>
        <w:t>发包</w:t>
      </w:r>
      <w:r>
        <w:rPr>
          <w:rFonts w:hint="eastAsia" w:ascii="Times New Roman" w:hAnsi="Times New Roman"/>
          <w:sz w:val="28"/>
          <w:szCs w:val="28"/>
        </w:rPr>
        <w:t>（转让）方和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临高</w:t>
      </w:r>
      <w:r>
        <w:rPr>
          <w:rFonts w:hint="eastAsia" w:ascii="Times New Roman" w:hAnsi="Times New Roman"/>
          <w:sz w:val="28"/>
          <w:szCs w:val="28"/>
        </w:rPr>
        <w:t>农村产权交易服务</w:t>
      </w:r>
      <w:r>
        <w:rPr>
          <w:rFonts w:hint="eastAsia" w:ascii="Times New Roman" w:hAnsi="Times New Roman"/>
          <w:sz w:val="28"/>
          <w:szCs w:val="28"/>
          <w:lang w:eastAsia="zh-CN"/>
        </w:rPr>
        <w:t>农交中心</w:t>
      </w:r>
      <w:r>
        <w:rPr>
          <w:rFonts w:hint="eastAsia" w:ascii="Times New Roman" w:hAnsi="Times New Roman"/>
          <w:sz w:val="28"/>
          <w:szCs w:val="28"/>
        </w:rPr>
        <w:t>书面通知要求与</w:t>
      </w:r>
      <w:r>
        <w:rPr>
          <w:rFonts w:hint="eastAsia" w:ascii="Times New Roman" w:hAnsi="Times New Roman"/>
          <w:sz w:val="28"/>
          <w:szCs w:val="28"/>
          <w:lang w:eastAsia="zh-CN"/>
        </w:rPr>
        <w:t>发包</w:t>
      </w:r>
      <w:r>
        <w:rPr>
          <w:rFonts w:hint="eastAsia" w:ascii="Times New Roman" w:hAnsi="Times New Roman"/>
          <w:sz w:val="28"/>
          <w:szCs w:val="28"/>
        </w:rPr>
        <w:t>（转让）方签署交易合同，并按《产权交易结算通知书》的约定支付交易价款。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0F1B74DC">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lang w:eastAsia="zh-CN"/>
        </w:rPr>
        <w:t>承包</w:t>
      </w:r>
      <w:r>
        <w:rPr>
          <w:rFonts w:hint="eastAsia" w:ascii="方正小标宋简体" w:hAnsi="方正小标宋简体" w:eastAsia="方正小标宋简体" w:cs="方正小标宋简体"/>
          <w:bCs/>
          <w:szCs w:val="36"/>
        </w:rPr>
        <w:t>（受让）申请书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5E211D9">
      <w:pPr>
        <w:rPr>
          <w:rFonts w:ascii="仿宋_GB2312" w:hAnsi="仿宋_GB2312" w:eastAsia="仿宋_GB2312" w:cs="仿宋_GB2312"/>
          <w:b/>
          <w:color w:val="000000"/>
          <w:sz w:val="30"/>
          <w:szCs w:val="30"/>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临高农村产权交易中心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临高农村产权交易中心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临高农村产权交易中心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 xml:space="preserve"> 10 </w:t>
      </w:r>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3"/>
        <w:spacing w:line="400" w:lineRule="exact"/>
        <w:rPr>
          <w:rFonts w:ascii="仿宋" w:hAnsi="仿宋"/>
          <w:bCs/>
          <w:szCs w:val="36"/>
        </w:rPr>
      </w:pPr>
      <w:r>
        <w:rPr>
          <w:rFonts w:hint="eastAsia"/>
          <w:bCs/>
          <w:szCs w:val="36"/>
        </w:rPr>
        <w:t>意向</w:t>
      </w:r>
      <w:r>
        <w:rPr>
          <w:rFonts w:hint="eastAsia"/>
          <w:bCs/>
          <w:szCs w:val="36"/>
          <w:lang w:eastAsia="zh-CN"/>
        </w:rPr>
        <w:t>承包</w:t>
      </w:r>
      <w:r>
        <w:rPr>
          <w:rFonts w:hint="eastAsia"/>
          <w:bCs/>
          <w:szCs w:val="36"/>
        </w:rPr>
        <w:t>（受让）函</w:t>
      </w:r>
    </w:p>
    <w:p w14:paraId="0BBF9B4D">
      <w:pPr>
        <w:rPr>
          <w:rFonts w:ascii="Times New Roman" w:hAnsi="Times New Roman" w:eastAsia="黑体"/>
          <w:bCs/>
          <w:sz w:val="24"/>
        </w:rPr>
      </w:pPr>
      <w:r>
        <w:rPr>
          <w:rFonts w:hint="eastAsia" w:ascii="Times New Roman" w:hAnsi="Times New Roman"/>
          <w:bCs/>
          <w:sz w:val="24"/>
          <w:lang w:val="en-US" w:eastAsia="zh-CN"/>
        </w:rPr>
        <w:t>临高农村产权交易中心</w:t>
      </w:r>
      <w:r>
        <w:rPr>
          <w:rFonts w:hint="eastAsia" w:ascii="Times New Roman" w:hAnsi="Times New Roman" w:eastAsia="黑体"/>
          <w:sz w:val="24"/>
        </w:rPr>
        <w:t>：</w:t>
      </w:r>
    </w:p>
    <w:p w14:paraId="7BB5CB8B">
      <w:pPr>
        <w:spacing w:line="440" w:lineRule="exact"/>
        <w:ind w:firstLine="480" w:firstLineChars="200"/>
        <w:rPr>
          <w:sz w:val="24"/>
        </w:rPr>
      </w:pPr>
      <w:r>
        <w:rPr>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临高农村产权交易中心（以下简称“农交中心”）网站</w:t>
      </w:r>
      <w:r>
        <w:rPr>
          <w:rFonts w:hint="eastAsia" w:ascii="Times New Roman" w:hAnsi="Times New Roman"/>
          <w:bCs/>
          <w:sz w:val="24"/>
        </w:rPr>
        <w:t>（http://</w:t>
      </w:r>
      <w:r>
        <w:rPr>
          <w:rFonts w:hint="eastAsia" w:ascii="Times New Roman" w:hAnsi="Times New Roman"/>
          <w:bCs/>
          <w:sz w:val="24"/>
          <w:lang w:val="en-US" w:eastAsia="zh-CN"/>
        </w:rPr>
        <w:t>lingao</w:t>
      </w:r>
      <w:r>
        <w:rPr>
          <w:rFonts w:hint="eastAsia" w:ascii="Times New Roman" w:hAnsi="Times New Roman"/>
          <w:bCs/>
          <w:sz w:val="24"/>
        </w:rPr>
        <w:t>.nongjiao.com）申请</w:t>
      </w:r>
      <w:r>
        <w:rPr>
          <w:rFonts w:hint="eastAsia" w:ascii="Times New Roman" w:hAnsi="Times New Roman"/>
          <w:bCs/>
          <w:sz w:val="24"/>
          <w:lang w:eastAsia="zh-CN"/>
        </w:rPr>
        <w:t>承包</w:t>
      </w:r>
      <w:r>
        <w:rPr>
          <w:rFonts w:hint="eastAsia" w:ascii="Times New Roman" w:hAnsi="Times New Roman"/>
          <w:bCs/>
          <w:sz w:val="24"/>
        </w:rPr>
        <w:t>（受让）</w:t>
      </w:r>
      <w:r>
        <w:rPr>
          <w:rFonts w:hint="eastAsia" w:ascii="新宋体" w:hAnsi="新宋体" w:eastAsia="新宋体"/>
          <w:b/>
          <w:bCs/>
          <w:color w:val="C00000"/>
          <w:sz w:val="28"/>
          <w:szCs w:val="28"/>
          <w:u w:val="single"/>
          <w:lang w:val="en-US" w:eastAsia="zh-CN"/>
        </w:rPr>
        <w:t>海南省临高县和舍镇罗忱村集体经济组织20908羽银羽王种鸽及肉鸽出售</w:t>
      </w:r>
      <w:r>
        <w:rPr>
          <w:rFonts w:hint="eastAsia" w:ascii="Times New Roman" w:hAnsi="Times New Roman"/>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w:t>
      </w:r>
      <w:r>
        <w:rPr>
          <w:rFonts w:hint="eastAsia" w:ascii="Times New Roman" w:hAnsi="Times New Roman"/>
          <w:b/>
          <w:sz w:val="24"/>
          <w:lang w:eastAsia="zh-CN"/>
        </w:rPr>
        <w:t>承包</w:t>
      </w:r>
      <w:r>
        <w:rPr>
          <w:rFonts w:hint="eastAsia" w:ascii="Times New Roman" w:hAnsi="Times New Roman"/>
          <w:b/>
          <w:sz w:val="24"/>
        </w:rPr>
        <w:t>（受让）该项目，并接受项目公开挂牌信息所载的全部</w:t>
      </w:r>
      <w:r>
        <w:rPr>
          <w:rFonts w:hint="eastAsia" w:ascii="Times New Roman" w:hAnsi="Times New Roman"/>
          <w:b/>
          <w:sz w:val="24"/>
          <w:lang w:eastAsia="zh-CN"/>
        </w:rPr>
        <w:t>承包</w:t>
      </w:r>
      <w:r>
        <w:rPr>
          <w:rFonts w:hint="eastAsia" w:ascii="Times New Roman" w:hAnsi="Times New Roman"/>
          <w:b/>
          <w:sz w:val="24"/>
        </w:rPr>
        <w:t>（受让）要求，我方</w:t>
      </w:r>
      <w:r>
        <w:rPr>
          <w:rFonts w:hint="eastAsia" w:ascii="Times New Roman" w:hAnsi="Times New Roman"/>
          <w:b/>
          <w:sz w:val="24"/>
          <w:lang w:eastAsia="zh-CN"/>
        </w:rPr>
        <w:t>承包</w:t>
      </w:r>
      <w:r>
        <w:rPr>
          <w:rFonts w:hint="eastAsia" w:ascii="Times New Roman" w:hAnsi="Times New Roman"/>
          <w:b/>
          <w:sz w:val="24"/>
        </w:rPr>
        <w:t>（受让）行为已经过相应的有效内部决策并得到相应批准。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w:t>
      </w:r>
      <w:r>
        <w:rPr>
          <w:rFonts w:hint="eastAsia" w:ascii="Times New Roman" w:hAnsi="Times New Roman"/>
          <w:b/>
          <w:sz w:val="24"/>
          <w:lang w:eastAsia="zh-CN"/>
        </w:rPr>
        <w:t>承包</w:t>
      </w:r>
      <w:r>
        <w:rPr>
          <w:rFonts w:hint="eastAsia" w:ascii="Times New Roman" w:hAnsi="Times New Roman"/>
          <w:b/>
          <w:sz w:val="24"/>
        </w:rPr>
        <w:t>（受让）方条件的规定。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w:t>
      </w:r>
      <w:r>
        <w:rPr>
          <w:rFonts w:hint="eastAsia" w:ascii="Times New Roman" w:hAnsi="Times New Roman"/>
          <w:b/>
          <w:sz w:val="24"/>
          <w:lang w:eastAsia="zh-CN"/>
        </w:rPr>
        <w:t>临高农村产权交易中心</w:t>
      </w:r>
      <w:r>
        <w:rPr>
          <w:rFonts w:hint="eastAsia" w:ascii="Times New Roman" w:hAnsi="Times New Roman"/>
          <w:b/>
          <w:sz w:val="24"/>
        </w:rPr>
        <w:t>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7" w:name="_Toc11532"/>
      <w:bookmarkStart w:id="18" w:name="_Toc28981"/>
      <w:bookmarkStart w:id="19" w:name="_Toc13357"/>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w:t>
      </w:r>
      <w:r>
        <w:rPr>
          <w:rFonts w:hint="eastAsia" w:ascii="Times New Roman" w:hAnsi="Times New Roman"/>
          <w:b/>
          <w:sz w:val="24"/>
          <w:lang w:val="en-US" w:eastAsia="zh-CN"/>
        </w:rPr>
        <w:t>中标后</w:t>
      </w:r>
      <w:r>
        <w:rPr>
          <w:rFonts w:hint="eastAsia" w:ascii="Times New Roman" w:hAnsi="Times New Roman"/>
          <w:b/>
          <w:sz w:val="24"/>
        </w:rPr>
        <w:t>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20" w:name="_Toc7009"/>
      <w:bookmarkStart w:id="21" w:name="_Toc24611"/>
      <w:bookmarkStart w:id="22" w:name="_Toc31003"/>
      <w:r>
        <w:rPr>
          <w:rFonts w:hint="eastAsia" w:ascii="Times New Roman" w:hAnsi="Times New Roman"/>
          <w:b/>
          <w:sz w:val="24"/>
          <w:szCs w:val="24"/>
        </w:rPr>
        <w:t>10、最终解释权归</w:t>
      </w:r>
      <w:r>
        <w:rPr>
          <w:rFonts w:hint="eastAsia" w:ascii="Times New Roman" w:hAnsi="Times New Roman"/>
          <w:b/>
          <w:sz w:val="24"/>
          <w:szCs w:val="24"/>
          <w:lang w:val="en-US" w:eastAsia="zh-CN"/>
        </w:rPr>
        <w:t>临高农村产权交易中心</w:t>
      </w:r>
      <w:r>
        <w:rPr>
          <w:rFonts w:hint="eastAsia" w:ascii="Times New Roman" w:hAnsi="Times New Roman"/>
          <w:b/>
          <w:sz w:val="24"/>
          <w:szCs w:val="24"/>
        </w:rPr>
        <w:t>。</w:t>
      </w:r>
      <w:bookmarkEnd w:id="20"/>
      <w:bookmarkEnd w:id="21"/>
      <w:bookmarkEnd w:id="22"/>
    </w:p>
    <w:p w14:paraId="7080055C">
      <w:pPr>
        <w:spacing w:line="312" w:lineRule="auto"/>
        <w:ind w:firstLine="3840" w:firstLineChars="1600"/>
        <w:rPr>
          <w:rFonts w:ascii="宋体" w:hAnsi="宋体" w:eastAsia="宋体" w:cs="宋体"/>
          <w:sz w:val="24"/>
        </w:rPr>
      </w:pPr>
    </w:p>
    <w:p w14:paraId="4CD2AC17">
      <w:pPr>
        <w:spacing w:line="296" w:lineRule="auto"/>
        <w:ind w:firstLine="3840" w:firstLineChars="1600"/>
        <w:rPr>
          <w:rFonts w:ascii="宋体" w:hAnsi="宋体" w:eastAsia="宋体" w:cs="宋体"/>
          <w:sz w:val="24"/>
          <w:u w:val="single"/>
        </w:rPr>
      </w:pPr>
      <w:bookmarkStart w:id="23" w:name="_Toc4535"/>
      <w:bookmarkStart w:id="24" w:name="_Toc29057"/>
      <w:bookmarkStart w:id="25" w:name="_Toc30986"/>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60100DA8">
      <w:pPr>
        <w:spacing w:line="296" w:lineRule="auto"/>
        <w:ind w:firstLine="3840" w:firstLineChars="1600"/>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43F8999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9D232EF">
      <w:pPr>
        <w:pStyle w:val="3"/>
        <w:spacing w:line="240" w:lineRule="auto"/>
        <w:rPr>
          <w:rFonts w:ascii="黑体" w:hAnsi="黑体"/>
          <w:color w:val="000000"/>
        </w:rPr>
      </w:pPr>
      <w:bookmarkStart w:id="28" w:name="_Toc12264"/>
      <w:bookmarkStart w:id="29" w:name="_Toc14469"/>
      <w:bookmarkStart w:id="30" w:name="_Toc4580"/>
      <w:bookmarkStart w:id="31" w:name="_Toc29841"/>
      <w:bookmarkStart w:id="32" w:name="_Toc13094"/>
      <w:bookmarkStart w:id="33" w:name="_Toc32101"/>
      <w:bookmarkStart w:id="34" w:name="_Toc11237"/>
      <w:r>
        <w:rPr>
          <w:rFonts w:hint="eastAsia" w:ascii="黑体" w:hAnsi="黑体"/>
          <w:color w:val="000000"/>
        </w:rPr>
        <w:t>意向</w:t>
      </w:r>
      <w:r>
        <w:rPr>
          <w:rFonts w:hint="eastAsia" w:ascii="黑体" w:hAnsi="黑体"/>
          <w:color w:val="000000"/>
          <w:lang w:eastAsia="zh-CN"/>
        </w:rPr>
        <w:t>承包</w:t>
      </w:r>
      <w:r>
        <w:rPr>
          <w:rFonts w:hint="eastAsia" w:ascii="黑体" w:hAnsi="黑体"/>
          <w:color w:val="000000"/>
        </w:rPr>
        <w:t>（受让）方登记表</w:t>
      </w:r>
      <w:bookmarkEnd w:id="28"/>
      <w:bookmarkEnd w:id="29"/>
      <w:bookmarkEnd w:id="30"/>
      <w:bookmarkEnd w:id="31"/>
      <w:bookmarkEnd w:id="32"/>
      <w:bookmarkEnd w:id="33"/>
      <w:bookmarkEnd w:id="34"/>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eastAsia="宋体"/>
                <w:bCs/>
                <w:sz w:val="22"/>
                <w:lang w:eastAsia="zh-CN"/>
              </w:rPr>
              <w:t>承包</w:t>
            </w:r>
            <w:r>
              <w:rPr>
                <w:rFonts w:hint="eastAsia" w:ascii="宋体" w:hAnsi="宋体"/>
                <w:bCs/>
                <w:sz w:val="22"/>
              </w:rPr>
              <w:t>（受让）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4"/>
              <w:rPr>
                <w:rFonts w:hint="default" w:eastAsiaTheme="minorEastAsia"/>
                <w:lang w:val="en-US" w:eastAsia="zh-CN"/>
              </w:rPr>
            </w:pPr>
            <w:r>
              <w:rPr>
                <w:rFonts w:hint="eastAsia"/>
                <w:lang w:val="en-US" w:eastAsia="zh-CN"/>
              </w:rPr>
              <w:t xml:space="preserve">     </w:t>
            </w: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7"/>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7"/>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7"/>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7"/>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7"/>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7"/>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center"/>
              <w:rPr>
                <w:rFonts w:hint="default" w:ascii="宋体" w:hAnsi="宋体" w:eastAsia="宋体"/>
                <w:sz w:val="22"/>
                <w:lang w:val="en-US" w:eastAsia="zh-CN"/>
              </w:rPr>
            </w:pP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lang w:eastAsia="zh-CN"/>
              </w:rPr>
              <w:t>承包</w:t>
            </w:r>
            <w:r>
              <w:rPr>
                <w:rFonts w:hint="eastAsia" w:ascii="宋体" w:hAnsi="宋体"/>
                <w:bCs/>
                <w:sz w:val="22"/>
              </w:rPr>
              <w:t>（受让）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029344FE">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rPr>
            </w:pPr>
            <w:r>
              <w:rPr>
                <w:rFonts w:hint="eastAsia" w:ascii="宋体" w:hAnsi="宋体" w:eastAsia="宋体"/>
                <w:bCs/>
                <w:sz w:val="22"/>
              </w:rPr>
              <w:t>法人单位</w:t>
            </w:r>
          </w:p>
          <w:p w14:paraId="6D855367">
            <w:pPr>
              <w:spacing w:line="360" w:lineRule="auto"/>
              <w:jc w:val="center"/>
              <w:rPr>
                <w:rFonts w:ascii="宋体" w:hAnsi="宋体" w:eastAsia="宋体"/>
                <w:bCs/>
                <w:sz w:val="22"/>
              </w:rPr>
            </w:pPr>
            <w:r>
              <w:rPr>
                <w:rFonts w:hint="eastAsia" w:ascii="宋体" w:hAnsi="宋体" w:eastAsia="宋体"/>
                <w:bCs/>
                <w:sz w:val="22"/>
              </w:rPr>
              <w:t>（如农业企业，</w:t>
            </w:r>
          </w:p>
          <w:p w14:paraId="63EA6963">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6322EF9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0E11F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57F75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48042F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6EA484DC">
      <w:pPr>
        <w:spacing w:line="570" w:lineRule="exact"/>
        <w:jc w:val="center"/>
        <w:rPr>
          <w:rFonts w:hint="eastAsia" w:ascii="方正小标宋简体" w:hAnsi="方正小标宋简体" w:eastAsia="方正小标宋简体" w:cs="方正小标宋简体"/>
          <w:b/>
          <w:bCs/>
          <w:sz w:val="36"/>
          <w:szCs w:val="36"/>
          <w:u w:val="single"/>
        </w:rPr>
      </w:pPr>
    </w:p>
    <w:p w14:paraId="116CDDBA">
      <w:pPr>
        <w:spacing w:line="570" w:lineRule="exact"/>
        <w:jc w:val="center"/>
        <w:rPr>
          <w:rFonts w:hint="eastAsia" w:ascii="方正小标宋简体" w:hAnsi="方正小标宋简体" w:eastAsia="方正小标宋简体" w:cs="方正小标宋简体"/>
          <w:b/>
          <w:bCs/>
          <w:sz w:val="36"/>
          <w:szCs w:val="36"/>
          <w:u w:val="single"/>
        </w:rPr>
      </w:pPr>
    </w:p>
    <w:p w14:paraId="28A2DEE1">
      <w:pPr>
        <w:spacing w:line="570" w:lineRule="exact"/>
        <w:jc w:val="center"/>
        <w:rPr>
          <w:rFonts w:hint="eastAsia" w:ascii="方正小标宋简体" w:hAnsi="方正小标宋简体" w:eastAsia="方正小标宋简体" w:cs="方正小标宋简体"/>
          <w:b/>
          <w:bCs/>
          <w:sz w:val="36"/>
          <w:szCs w:val="36"/>
          <w:u w:val="single"/>
        </w:rPr>
      </w:pP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海南省临高县和舍镇罗忱村集体经济组织20908羽银羽王种鸽及肉鸽出售</w:t>
      </w:r>
      <w:bookmarkStart w:id="36" w:name="_GoBack"/>
      <w:bookmarkEnd w:id="36"/>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spacing w:line="520" w:lineRule="exact"/>
        <w:ind w:left="559" w:leftChars="266" w:firstLine="0" w:firstLineChars="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海南省临高县和舍镇罗忱村集体经济组织</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none"/>
          <w:lang w:val="en-US" w:eastAsia="zh-CN"/>
        </w:rPr>
        <w:t>海南省临高县和舍镇罗忱村集体经济组织20908羽银羽王种鸽及肉鸽出售</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临高农村产权交易中心(以下简称“农交中心”)网站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lingao</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eastAsia="zh-CN"/>
        </w:rPr>
        <w:t>发包</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2"/>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51C52CF7">
      <w:pPr>
        <w:spacing w:line="520" w:lineRule="exact"/>
        <w:ind w:firstLine="560" w:firstLineChars="200"/>
        <w:rPr>
          <w:rFonts w:hint="eastAsia" w:asciiTheme="minorEastAsia" w:hAnsiTheme="minorEastAsia" w:cstheme="minorEastAsia"/>
          <w:color w:val="C00000"/>
          <w:sz w:val="32"/>
          <w:szCs w:val="32"/>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color w:val="C00000"/>
          <w:sz w:val="32"/>
          <w:szCs w:val="32"/>
          <w:u w:val="none"/>
          <w:lang w:val="en-US" w:eastAsia="zh-CN"/>
        </w:rPr>
        <w:t>海南省临高县和舍镇罗忱村集体经济组织20908羽银羽王种鸽及肉鸽出售</w:t>
      </w:r>
    </w:p>
    <w:p w14:paraId="0F84A090">
      <w:pPr>
        <w:shd w:val="clear" w:color="auto" w:fill="auto"/>
        <w:spacing w:line="240" w:lineRule="auto"/>
        <w:ind w:firstLine="560" w:firstLineChars="200"/>
        <w:jc w:val="both"/>
        <w:rPr>
          <w:rFonts w:hint="eastAsia" w:asciiTheme="minorEastAsia" w:hAnsiTheme="minorEastAsia" w:cstheme="minorEastAsia"/>
          <w:color w:val="C00000"/>
          <w:sz w:val="32"/>
          <w:szCs w:val="32"/>
          <w:lang w:val="en-US" w:eastAsia="zh-CN"/>
        </w:rPr>
      </w:pPr>
      <w:r>
        <w:rPr>
          <w:rFonts w:hint="eastAsia" w:asciiTheme="minorEastAsia" w:hAnsiTheme="minorEastAsia" w:cstheme="minorEastAsia"/>
          <w:sz w:val="28"/>
          <w:szCs w:val="28"/>
          <w:lang w:val="en-US" w:eastAsia="zh-CN"/>
        </w:rPr>
        <w:t>出售方：</w:t>
      </w:r>
      <w:r>
        <w:rPr>
          <w:rFonts w:hint="eastAsia" w:asciiTheme="minorEastAsia" w:hAnsiTheme="minorEastAsia" w:cstheme="minorEastAsia"/>
          <w:color w:val="C00000"/>
          <w:sz w:val="32"/>
          <w:szCs w:val="32"/>
          <w:lang w:val="en-US" w:eastAsia="zh-CN"/>
        </w:rPr>
        <w:t>海南省临高县和舍镇罗忱村集体经济组织</w:t>
      </w:r>
    </w:p>
    <w:p w14:paraId="644CB298">
      <w:pPr>
        <w:spacing w:line="520" w:lineRule="exact"/>
        <w:ind w:left="559" w:leftChars="266" w:firstLine="0" w:firstLineChars="0"/>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出售数量</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20908羽</w:t>
      </w:r>
    </w:p>
    <w:p w14:paraId="6152C591">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流转</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永久</w:t>
      </w:r>
    </w:p>
    <w:p w14:paraId="1939C79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w:t>
      </w:r>
      <w:r>
        <w:rPr>
          <w:rFonts w:hint="eastAsia" w:asciiTheme="minorEastAsia" w:hAnsiTheme="minorEastAsia" w:cstheme="minorEastAsia"/>
          <w:b w:val="0"/>
          <w:bCs w:val="0"/>
          <w:color w:val="auto"/>
          <w:sz w:val="28"/>
          <w:szCs w:val="28"/>
          <w:highlight w:val="none"/>
          <w:u w:val="none"/>
          <w:lang w:val="en-US" w:eastAsia="zh-CN"/>
        </w:rPr>
        <w:t>底价</w:t>
      </w:r>
      <w:r>
        <w:rPr>
          <w:rFonts w:hint="eastAsia" w:asciiTheme="minorEastAsia" w:hAnsiTheme="minorEastAsia" w:eastAsiaTheme="minorEastAsia" w:cstheme="minorEastAsia"/>
          <w:b w:val="0"/>
          <w:bCs w:val="0"/>
          <w:color w:val="auto"/>
          <w:sz w:val="28"/>
          <w:szCs w:val="28"/>
          <w:highlight w:val="none"/>
          <w:u w:val="none"/>
          <w:lang w:val="en-US" w:eastAsia="zh-CN"/>
        </w:rPr>
        <w:t>：</w:t>
      </w:r>
      <w:r>
        <w:rPr>
          <w:rFonts w:hint="eastAsia" w:asciiTheme="minorEastAsia" w:hAnsiTheme="minorEastAsia" w:cstheme="minorEastAsia"/>
          <w:b w:val="0"/>
          <w:bCs w:val="0"/>
          <w:color w:val="auto"/>
          <w:sz w:val="28"/>
          <w:szCs w:val="28"/>
          <w:highlight w:val="none"/>
          <w:u w:val="none"/>
          <w:lang w:val="en-US" w:eastAsia="zh-CN"/>
        </w:rPr>
        <w:t>818463元（总价）</w:t>
      </w:r>
    </w:p>
    <w:p w14:paraId="11DF4CF2">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 xml:space="preserve">报名保证金 </w:t>
      </w:r>
      <w:r>
        <w:rPr>
          <w:rFonts w:hint="eastAsia" w:asciiTheme="minorEastAsia" w:hAnsiTheme="minorEastAsia" w:cstheme="minorEastAsia"/>
          <w:b w:val="0"/>
          <w:bCs w:val="0"/>
          <w:color w:val="auto"/>
          <w:sz w:val="28"/>
          <w:szCs w:val="28"/>
          <w:highlight w:val="none"/>
          <w:u w:val="none"/>
          <w:lang w:val="en-US" w:eastAsia="zh-CN"/>
        </w:rPr>
        <w:t>：165000元</w:t>
      </w:r>
    </w:p>
    <w:p w14:paraId="3C67C08C">
      <w:pPr>
        <w:spacing w:line="520" w:lineRule="exact"/>
        <w:ind w:firstLine="560" w:firstLineChars="200"/>
        <w:rPr>
          <w:rFonts w:hint="eastAsia" w:asciiTheme="minorEastAsia" w:hAnsiTheme="minorEastAsia" w:eastAsiaTheme="minorEastAsia" w:cstheme="minorEastAsia"/>
          <w:b/>
          <w:bCs/>
          <w:sz w:val="28"/>
          <w:szCs w:val="28"/>
          <w:lang w:eastAsia="zh-CN"/>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19</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27 </w:t>
      </w:r>
      <w:r>
        <w:rPr>
          <w:rFonts w:hint="eastAsia" w:asciiTheme="minorEastAsia" w:hAnsiTheme="minorEastAsia" w:eastAsiaTheme="minorEastAsia" w:cstheme="minorEastAsia"/>
          <w:sz w:val="28"/>
          <w:szCs w:val="28"/>
        </w:rPr>
        <w:t>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4CA22FF1">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28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28 </w:t>
      </w:r>
      <w:r>
        <w:rPr>
          <w:rFonts w:hint="eastAsia" w:asciiTheme="minorEastAsia" w:hAnsiTheme="minorEastAsia" w:eastAsiaTheme="minorEastAsia" w:cstheme="minorEastAsia"/>
          <w:sz w:val="28"/>
          <w:szCs w:val="28"/>
        </w:rPr>
        <w:t>16:00</w:t>
      </w:r>
    </w:p>
    <w:p w14:paraId="43B9701C">
      <w:pPr>
        <w:spacing w:line="520" w:lineRule="exact"/>
        <w:ind w:firstLine="560" w:firstLineChars="200"/>
        <w:rPr>
          <w:rFonts w:hint="default"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 xml:space="preserve"> 一次性付清</w:t>
      </w:r>
    </w:p>
    <w:p w14:paraId="2314EC01">
      <w:pPr>
        <w:spacing w:line="520" w:lineRule="exact"/>
        <w:ind w:firstLine="560" w:firstLineChars="200"/>
        <w:rPr>
          <w:rFonts w:hint="default"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符先生18084626860</w:t>
      </w:r>
    </w:p>
    <w:p w14:paraId="69CE8AAE">
      <w:pPr>
        <w:spacing w:line="520" w:lineRule="exact"/>
        <w:ind w:firstLine="3080" w:firstLineChars="1100"/>
        <w:rPr>
          <w:rFonts w:hint="eastAsia"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陈女士18084628094</w:t>
      </w:r>
    </w:p>
    <w:p w14:paraId="3C6E77CD">
      <w:pPr>
        <w:spacing w:line="520" w:lineRule="exact"/>
        <w:ind w:firstLine="3080" w:firstLineChars="1100"/>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王女士18084626110</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CC0B6B4">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12345</w:t>
      </w:r>
    </w:p>
    <w:p w14:paraId="69C6789A">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临高县临城镇市政大道32号海南农商银行临高支行</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lingao</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4F27A6D7">
      <w:pPr>
        <w:spacing w:line="570" w:lineRule="exact"/>
        <w:jc w:val="both"/>
        <w:rPr>
          <w:rFonts w:ascii="宋体" w:hAnsi="宋体" w:eastAsia="宋体" w:cs="宋体"/>
          <w:sz w:val="28"/>
          <w:szCs w:val="28"/>
          <w:u w:val="single"/>
        </w:rPr>
      </w:pPr>
    </w:p>
    <w:p w14:paraId="5F35A458">
      <w:pPr>
        <w:spacing w:line="570" w:lineRule="exact"/>
        <w:jc w:val="both"/>
        <w:rPr>
          <w:rFonts w:hint="eastAsia" w:ascii="宋体" w:hAnsi="宋体" w:eastAsia="宋体" w:cs="宋体"/>
          <w:sz w:val="28"/>
          <w:szCs w:val="28"/>
          <w:u w:val="single"/>
          <w:lang w:eastAsia="zh-CN"/>
        </w:rPr>
      </w:pPr>
    </w:p>
    <w:p w14:paraId="4D04BE9E">
      <w:pPr>
        <w:spacing w:line="570" w:lineRule="exact"/>
        <w:jc w:val="both"/>
        <w:rPr>
          <w:rFonts w:ascii="宋体" w:hAnsi="宋体" w:eastAsia="宋体" w:cs="宋体"/>
          <w:sz w:val="28"/>
          <w:szCs w:val="28"/>
          <w:u w:val="single"/>
        </w:rPr>
      </w:pPr>
      <w:r>
        <w:rPr>
          <w:rFonts w:hint="eastAsia" w:ascii="宋体" w:hAnsi="宋体" w:eastAsia="宋体" w:cs="宋体"/>
          <w:sz w:val="28"/>
          <w:szCs w:val="28"/>
          <w:u w:val="single"/>
          <w:lang w:eastAsia="zh-CN"/>
        </w:rPr>
        <w:drawing>
          <wp:anchor distT="0" distB="0" distL="114300" distR="114300" simplePos="0" relativeHeight="251663360" behindDoc="1" locked="0" layoutInCell="1" allowOverlap="1">
            <wp:simplePos x="0" y="0"/>
            <wp:positionH relativeFrom="column">
              <wp:posOffset>0</wp:posOffset>
            </wp:positionH>
            <wp:positionV relativeFrom="paragraph">
              <wp:posOffset>-586740</wp:posOffset>
            </wp:positionV>
            <wp:extent cx="868045" cy="868045"/>
            <wp:effectExtent l="0" t="0" r="8255" b="8255"/>
            <wp:wrapTight wrapText="bothSides">
              <wp:wrapPolygon>
                <wp:start x="0" y="0"/>
                <wp:lineTo x="0" y="21331"/>
                <wp:lineTo x="21331" y="21331"/>
                <wp:lineTo x="21331" y="0"/>
                <wp:lineTo x="0" y="0"/>
              </wp:wrapPolygon>
            </wp:wrapTight>
            <wp:docPr id="1" name="图片 1" descr="0a7e1229b2f199a5f94b5b9bdf56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0a7e1229b2f199a5f94b5b9bdf56512"/>
                    <pic:cNvPicPr>
                      <a:picLocks noChangeAspect="1"/>
                    </pic:cNvPicPr>
                  </pic:nvPicPr>
                  <pic:blipFill>
                    <a:blip r:embed="rId5"/>
                    <a:stretch>
                      <a:fillRect/>
                    </a:stretch>
                  </pic:blipFill>
                  <pic:spPr>
                    <a:xfrm>
                      <a:off x="0" y="0"/>
                      <a:ext cx="868045" cy="868045"/>
                    </a:xfrm>
                    <a:prstGeom prst="rect">
                      <a:avLst/>
                    </a:prstGeom>
                  </pic:spPr>
                </pic:pic>
              </a:graphicData>
            </a:graphic>
          </wp:anchor>
        </w:drawing>
      </w: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KSOF8235D1FC">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923ADD">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332DA1">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B332DA1">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75E67"/>
    <w:rsid w:val="00125DA0"/>
    <w:rsid w:val="00167AC6"/>
    <w:rsid w:val="00B57B36"/>
    <w:rsid w:val="00CD7376"/>
    <w:rsid w:val="00E03B4E"/>
    <w:rsid w:val="00E541D7"/>
    <w:rsid w:val="011B32B7"/>
    <w:rsid w:val="021C29C7"/>
    <w:rsid w:val="03DB41BC"/>
    <w:rsid w:val="070E6657"/>
    <w:rsid w:val="077010BF"/>
    <w:rsid w:val="07A62D33"/>
    <w:rsid w:val="09061CDB"/>
    <w:rsid w:val="09077801"/>
    <w:rsid w:val="09265ED9"/>
    <w:rsid w:val="0A80786B"/>
    <w:rsid w:val="0A8721A0"/>
    <w:rsid w:val="0ADD2F10"/>
    <w:rsid w:val="0AE0655C"/>
    <w:rsid w:val="0B7B2128"/>
    <w:rsid w:val="0B985CD3"/>
    <w:rsid w:val="0BC96FF0"/>
    <w:rsid w:val="0CD67C16"/>
    <w:rsid w:val="0E1C5E37"/>
    <w:rsid w:val="0E9816ED"/>
    <w:rsid w:val="0EEF4FBF"/>
    <w:rsid w:val="0EF64BA6"/>
    <w:rsid w:val="10396E71"/>
    <w:rsid w:val="105772C0"/>
    <w:rsid w:val="117F262B"/>
    <w:rsid w:val="11A6405B"/>
    <w:rsid w:val="11DE52CB"/>
    <w:rsid w:val="132D209C"/>
    <w:rsid w:val="1399374C"/>
    <w:rsid w:val="148D1503"/>
    <w:rsid w:val="150A3847"/>
    <w:rsid w:val="1658169C"/>
    <w:rsid w:val="16C136E5"/>
    <w:rsid w:val="16CD3E38"/>
    <w:rsid w:val="16D93709"/>
    <w:rsid w:val="186B3909"/>
    <w:rsid w:val="18E10F33"/>
    <w:rsid w:val="19A215AC"/>
    <w:rsid w:val="1A0C35CC"/>
    <w:rsid w:val="1A626F8D"/>
    <w:rsid w:val="1B083691"/>
    <w:rsid w:val="1B0E4A1F"/>
    <w:rsid w:val="1CE74D57"/>
    <w:rsid w:val="1D3A4E38"/>
    <w:rsid w:val="1E6908EA"/>
    <w:rsid w:val="205C18F7"/>
    <w:rsid w:val="20B971DB"/>
    <w:rsid w:val="20BE4E97"/>
    <w:rsid w:val="2163678E"/>
    <w:rsid w:val="21FF50C2"/>
    <w:rsid w:val="23C4301C"/>
    <w:rsid w:val="23DD5D2E"/>
    <w:rsid w:val="25B52667"/>
    <w:rsid w:val="266F29B9"/>
    <w:rsid w:val="2741574C"/>
    <w:rsid w:val="27EC60E8"/>
    <w:rsid w:val="28A86B34"/>
    <w:rsid w:val="29A96C5C"/>
    <w:rsid w:val="2B195446"/>
    <w:rsid w:val="2B807273"/>
    <w:rsid w:val="2BD1187D"/>
    <w:rsid w:val="2C3A38C6"/>
    <w:rsid w:val="2C42277B"/>
    <w:rsid w:val="2C765212"/>
    <w:rsid w:val="2CD755B9"/>
    <w:rsid w:val="2D1B1EF2"/>
    <w:rsid w:val="2DEA30CA"/>
    <w:rsid w:val="2E514EF7"/>
    <w:rsid w:val="2EF20488"/>
    <w:rsid w:val="2F120B2A"/>
    <w:rsid w:val="2F762E67"/>
    <w:rsid w:val="2F866E22"/>
    <w:rsid w:val="2FA8323D"/>
    <w:rsid w:val="30AA01BC"/>
    <w:rsid w:val="30B56AE1"/>
    <w:rsid w:val="30CE55FA"/>
    <w:rsid w:val="317C672F"/>
    <w:rsid w:val="31E57E30"/>
    <w:rsid w:val="327E6635"/>
    <w:rsid w:val="3321133C"/>
    <w:rsid w:val="347A51A8"/>
    <w:rsid w:val="349D2C44"/>
    <w:rsid w:val="3516702D"/>
    <w:rsid w:val="356B5D48"/>
    <w:rsid w:val="35814314"/>
    <w:rsid w:val="35CD7559"/>
    <w:rsid w:val="35EA1EB9"/>
    <w:rsid w:val="36257C7B"/>
    <w:rsid w:val="3717024B"/>
    <w:rsid w:val="37183F17"/>
    <w:rsid w:val="37E601A9"/>
    <w:rsid w:val="37F0752F"/>
    <w:rsid w:val="37F87A4B"/>
    <w:rsid w:val="37FF5016"/>
    <w:rsid w:val="380361CD"/>
    <w:rsid w:val="38A5656B"/>
    <w:rsid w:val="3A7A2C02"/>
    <w:rsid w:val="3AAD7959"/>
    <w:rsid w:val="3ABF7001"/>
    <w:rsid w:val="3BCC2061"/>
    <w:rsid w:val="3D124BF3"/>
    <w:rsid w:val="3D922FE7"/>
    <w:rsid w:val="3DB159B2"/>
    <w:rsid w:val="3EB859B2"/>
    <w:rsid w:val="3EE84C2D"/>
    <w:rsid w:val="3F220916"/>
    <w:rsid w:val="40176161"/>
    <w:rsid w:val="408C7674"/>
    <w:rsid w:val="409F10ED"/>
    <w:rsid w:val="411A15DB"/>
    <w:rsid w:val="41377F7D"/>
    <w:rsid w:val="42621029"/>
    <w:rsid w:val="42EC1909"/>
    <w:rsid w:val="43315BEC"/>
    <w:rsid w:val="43AD1C7C"/>
    <w:rsid w:val="43CC52F4"/>
    <w:rsid w:val="44047C65"/>
    <w:rsid w:val="4486772E"/>
    <w:rsid w:val="44912C24"/>
    <w:rsid w:val="477C493B"/>
    <w:rsid w:val="479E2B03"/>
    <w:rsid w:val="47C03328"/>
    <w:rsid w:val="47D604EF"/>
    <w:rsid w:val="48350522"/>
    <w:rsid w:val="48DA2590"/>
    <w:rsid w:val="48F422BB"/>
    <w:rsid w:val="4A7A6DBA"/>
    <w:rsid w:val="4AC5484B"/>
    <w:rsid w:val="4BBA1ED6"/>
    <w:rsid w:val="4C122427"/>
    <w:rsid w:val="4C2707BD"/>
    <w:rsid w:val="4CA26BF2"/>
    <w:rsid w:val="4CD73773"/>
    <w:rsid w:val="4D440E1C"/>
    <w:rsid w:val="4DA072B6"/>
    <w:rsid w:val="4DAD545E"/>
    <w:rsid w:val="4DC33073"/>
    <w:rsid w:val="4E3F7559"/>
    <w:rsid w:val="4E9904C8"/>
    <w:rsid w:val="4ECE0172"/>
    <w:rsid w:val="4FF97471"/>
    <w:rsid w:val="50804CA1"/>
    <w:rsid w:val="51516E47"/>
    <w:rsid w:val="529C62D6"/>
    <w:rsid w:val="551123C4"/>
    <w:rsid w:val="582C5F09"/>
    <w:rsid w:val="5A3115B5"/>
    <w:rsid w:val="5A47702B"/>
    <w:rsid w:val="5ABA3CA0"/>
    <w:rsid w:val="5AFE6760"/>
    <w:rsid w:val="5B3C46B5"/>
    <w:rsid w:val="5BD329C8"/>
    <w:rsid w:val="5CF93C67"/>
    <w:rsid w:val="5FAB1E0A"/>
    <w:rsid w:val="618B7514"/>
    <w:rsid w:val="62920BC0"/>
    <w:rsid w:val="62B64D4D"/>
    <w:rsid w:val="637A7D59"/>
    <w:rsid w:val="639B14F1"/>
    <w:rsid w:val="64515E2E"/>
    <w:rsid w:val="64D61FAB"/>
    <w:rsid w:val="6549634D"/>
    <w:rsid w:val="66CB4B3F"/>
    <w:rsid w:val="674072DB"/>
    <w:rsid w:val="68790CF7"/>
    <w:rsid w:val="68D777CC"/>
    <w:rsid w:val="69A739D7"/>
    <w:rsid w:val="6A154A4F"/>
    <w:rsid w:val="6AE627E2"/>
    <w:rsid w:val="6BD44496"/>
    <w:rsid w:val="6C3F7B62"/>
    <w:rsid w:val="6C8E0AE9"/>
    <w:rsid w:val="6CDA21F4"/>
    <w:rsid w:val="6D30394E"/>
    <w:rsid w:val="6D7952F5"/>
    <w:rsid w:val="6EA63EC8"/>
    <w:rsid w:val="7020414E"/>
    <w:rsid w:val="713559D7"/>
    <w:rsid w:val="734F2D96"/>
    <w:rsid w:val="73A330CC"/>
    <w:rsid w:val="73C6500C"/>
    <w:rsid w:val="740D49E9"/>
    <w:rsid w:val="76312BA1"/>
    <w:rsid w:val="77690189"/>
    <w:rsid w:val="786A7F85"/>
    <w:rsid w:val="791505B4"/>
    <w:rsid w:val="79705177"/>
    <w:rsid w:val="79F77719"/>
    <w:rsid w:val="7A7C6A82"/>
    <w:rsid w:val="7A8615E4"/>
    <w:rsid w:val="7C4F3DF1"/>
    <w:rsid w:val="7C686C61"/>
    <w:rsid w:val="7D051392"/>
    <w:rsid w:val="7D6F2271"/>
    <w:rsid w:val="7D80622C"/>
    <w:rsid w:val="7DE93DD1"/>
    <w:rsid w:val="7E265025"/>
    <w:rsid w:val="7EC1633B"/>
    <w:rsid w:val="7EF0118F"/>
    <w:rsid w:val="7F853F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0"/>
    <w:autoRedefine/>
    <w:qFormat/>
    <w:uiPriority w:val="0"/>
    <w:pPr>
      <w:tabs>
        <w:tab w:val="center" w:pos="4153"/>
        <w:tab w:val="right" w:pos="8306"/>
      </w:tabs>
      <w:snapToGrid w:val="0"/>
      <w:jc w:val="left"/>
    </w:pPr>
    <w:rPr>
      <w:sz w:val="18"/>
      <w:szCs w:val="18"/>
    </w:rPr>
  </w:style>
  <w:style w:type="paragraph" w:styleId="10">
    <w:name w:val="header"/>
    <w:basedOn w:val="1"/>
    <w:link w:val="19"/>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character" w:customStyle="1" w:styleId="15">
    <w:name w:val="标题4 Char"/>
    <w:link w:val="16"/>
    <w:autoRedefine/>
    <w:qFormat/>
    <w:locked/>
    <w:uiPriority w:val="0"/>
    <w:rPr>
      <w:rFonts w:eastAsia="宋体"/>
      <w:kern w:val="0"/>
      <w:sz w:val="36"/>
      <w:szCs w:val="20"/>
    </w:rPr>
  </w:style>
  <w:style w:type="paragraph" w:customStyle="1" w:styleId="16">
    <w:name w:val="标题4"/>
    <w:basedOn w:val="5"/>
    <w:link w:val="15"/>
    <w:autoRedefine/>
    <w:qFormat/>
    <w:uiPriority w:val="0"/>
    <w:rPr>
      <w:rFonts w:eastAsia="宋体"/>
      <w:kern w:val="0"/>
      <w:sz w:val="36"/>
      <w:szCs w:val="20"/>
    </w:rPr>
  </w:style>
  <w:style w:type="paragraph" w:customStyle="1" w:styleId="17">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autoRedefine/>
    <w:qFormat/>
    <w:uiPriority w:val="0"/>
    <w:rPr>
      <w:rFonts w:asciiTheme="minorHAnsi" w:hAnsiTheme="minorHAnsi" w:eastAsiaTheme="minorEastAsia" w:cstheme="minorBidi"/>
      <w:lang w:val="en-US" w:eastAsia="zh-CN" w:bidi="ar-SA"/>
    </w:rPr>
  </w:style>
  <w:style w:type="character" w:customStyle="1" w:styleId="19">
    <w:name w:val="页眉 字符"/>
    <w:basedOn w:val="14"/>
    <w:link w:val="10"/>
    <w:autoRedefine/>
    <w:qFormat/>
    <w:uiPriority w:val="0"/>
    <w:rPr>
      <w:rFonts w:asciiTheme="minorHAnsi" w:hAnsiTheme="minorHAnsi" w:eastAsiaTheme="minorEastAsia" w:cstheme="minorBidi"/>
      <w:kern w:val="2"/>
      <w:sz w:val="18"/>
      <w:szCs w:val="18"/>
    </w:rPr>
  </w:style>
  <w:style w:type="character" w:customStyle="1" w:styleId="20">
    <w:name w:val="页脚 字符"/>
    <w:basedOn w:val="14"/>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6912</Words>
  <Characters>7357</Characters>
  <Lines>59</Lines>
  <Paragraphs>16</Paragraphs>
  <TotalTime>1</TotalTime>
  <ScaleCrop>false</ScaleCrop>
  <LinksUpToDate>false</LinksUpToDate>
  <CharactersWithSpaces>7845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Anyone</cp:lastModifiedBy>
  <dcterms:modified xsi:type="dcterms:W3CDTF">2026-10-16T03:45:10Z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1737232A60A04B7BB294C0C471D1378A_13</vt:lpwstr>
  </property>
  <property fmtid="{D5CDD505-2E9C-101B-9397-08002B2CF9AE}" pid="4" name="KSOTemplateDocerSaveRecord">
    <vt:lpwstr>eyJoZGlkIjoiMDVmODgwNGU3ODRhODkzZWQzYTY1ZWIzOTg2MTBmNWMiLCJ1c2VySWQiOiIxMTYxMjgxMTA5In0=</vt:lpwstr>
  </property>
</Properties>
</file>