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8BF013">
      <w:pPr>
        <w:spacing w:line="520" w:lineRule="exact"/>
        <w:jc w:val="center"/>
        <w:rPr>
          <w:rFonts w:hint="eastAsia" w:ascii="宋体" w:hAnsi="宋体" w:eastAsia="宋体"/>
          <w:b/>
          <w:sz w:val="36"/>
          <w:szCs w:val="36"/>
          <w:lang w:eastAsia="zh-CN"/>
        </w:rPr>
      </w:pPr>
      <w:r>
        <w:rPr>
          <w:rFonts w:hint="eastAsia" w:ascii="宋体" w:hAnsi="宋体" w:eastAsia="宋体"/>
          <w:b/>
          <w:sz w:val="44"/>
          <w:szCs w:val="44"/>
          <w:lang w:eastAsia="zh-CN"/>
        </w:rPr>
        <w:t>合作协议书</w:t>
      </w:r>
    </w:p>
    <w:p w14:paraId="4885EE0E">
      <w:pPr>
        <w:spacing w:line="520" w:lineRule="exact"/>
        <w:jc w:val="center"/>
        <w:rPr>
          <w:rFonts w:ascii="宋体" w:hAnsi="宋体"/>
          <w:b/>
          <w:sz w:val="44"/>
          <w:szCs w:val="44"/>
          <w:lang w:eastAsia="zh-CN"/>
        </w:rPr>
      </w:pPr>
    </w:p>
    <w:p w14:paraId="0CA44F8C">
      <w:pPr>
        <w:spacing w:line="560" w:lineRule="exact"/>
        <w:rPr>
          <w:rFonts w:hint="default" w:ascii="仿宋_GB2312" w:hAnsi="宋体" w:eastAsia="仿宋_GB2312"/>
          <w:color w:val="auto"/>
          <w:sz w:val="32"/>
          <w:szCs w:val="32"/>
          <w:lang w:val="en-US" w:eastAsia="zh-CN"/>
        </w:rPr>
      </w:pPr>
      <w:r>
        <w:rPr>
          <w:rFonts w:hint="eastAsia" w:ascii="仿宋_GB2312" w:hAnsi="宋体" w:eastAsia="仿宋_GB2312"/>
          <w:color w:val="auto"/>
          <w:sz w:val="32"/>
          <w:szCs w:val="32"/>
          <w:lang w:eastAsia="zh-CN"/>
        </w:rPr>
        <w:t>甲方：</w:t>
      </w:r>
      <w:r>
        <w:rPr>
          <w:rFonts w:hint="eastAsia" w:ascii="仿宋_GB2312" w:hAnsi="宋体" w:eastAsia="仿宋_GB2312"/>
          <w:color w:val="auto"/>
          <w:sz w:val="32"/>
          <w:szCs w:val="32"/>
          <w:lang w:val="en-US" w:eastAsia="zh-CN"/>
        </w:rPr>
        <w:t xml:space="preserve"> </w:t>
      </w:r>
      <w:r>
        <w:rPr>
          <w:rFonts w:hint="eastAsia" w:ascii="仿宋_GB2312" w:hAnsi="宋体" w:eastAsia="仿宋_GB2312"/>
          <w:color w:val="auto"/>
          <w:sz w:val="32"/>
          <w:szCs w:val="32"/>
          <w:lang w:eastAsia="zh-CN"/>
        </w:rPr>
        <w:t>统一社会信用代码：</w:t>
      </w:r>
    </w:p>
    <w:p w14:paraId="168C67EF">
      <w:pPr>
        <w:spacing w:line="560" w:lineRule="exact"/>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法定代表人：</w:t>
      </w:r>
    </w:p>
    <w:p w14:paraId="237BE689">
      <w:pPr>
        <w:spacing w:line="560" w:lineRule="exact"/>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地址：儋州市南丰镇武教村村民委员会</w:t>
      </w:r>
    </w:p>
    <w:p w14:paraId="6347DDC6">
      <w:pPr>
        <w:pStyle w:val="2"/>
        <w:spacing w:line="560" w:lineRule="exact"/>
        <w:ind w:firstLine="0"/>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乙方：</w:t>
      </w:r>
    </w:p>
    <w:p w14:paraId="412142EA">
      <w:pPr>
        <w:spacing w:line="560" w:lineRule="exact"/>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统一社会信用代码：</w:t>
      </w:r>
    </w:p>
    <w:p w14:paraId="31236862">
      <w:pPr>
        <w:spacing w:line="560" w:lineRule="exact"/>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法定代表人：</w:t>
      </w:r>
    </w:p>
    <w:p w14:paraId="43C73150">
      <w:pPr>
        <w:spacing w:line="560" w:lineRule="exact"/>
        <w:rPr>
          <w:rFonts w:hint="eastAsia"/>
          <w:lang w:eastAsia="zh-CN"/>
        </w:rPr>
      </w:pPr>
      <w:r>
        <w:rPr>
          <w:rFonts w:hint="eastAsia" w:ascii="仿宋_GB2312" w:hAnsi="宋体" w:eastAsia="仿宋_GB2312"/>
          <w:color w:val="auto"/>
          <w:sz w:val="32"/>
          <w:szCs w:val="32"/>
          <w:lang w:eastAsia="zh-CN"/>
        </w:rPr>
        <w:t>地址：</w:t>
      </w:r>
    </w:p>
    <w:p w14:paraId="576E773C">
      <w:pPr>
        <w:spacing w:line="560" w:lineRule="exact"/>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丙方：儋州市南丰镇人民政府</w:t>
      </w:r>
    </w:p>
    <w:p w14:paraId="43E124B2">
      <w:pPr>
        <w:spacing w:line="560" w:lineRule="exact"/>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统一社会信用代码：</w:t>
      </w:r>
    </w:p>
    <w:p w14:paraId="2F4989B8">
      <w:pPr>
        <w:spacing w:line="560" w:lineRule="exact"/>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法定代表人：</w:t>
      </w:r>
      <w:bookmarkStart w:id="5" w:name="_GoBack"/>
      <w:bookmarkEnd w:id="5"/>
    </w:p>
    <w:p w14:paraId="33353581">
      <w:pPr>
        <w:spacing w:line="560" w:lineRule="exact"/>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地址：儋州市南丰镇政府大院</w:t>
      </w:r>
    </w:p>
    <w:p w14:paraId="1B5271A7">
      <w:pPr>
        <w:spacing w:line="560" w:lineRule="exact"/>
        <w:rPr>
          <w:rFonts w:hint="eastAsia" w:ascii="仿宋" w:hAnsi="仿宋" w:eastAsia="仿宋" w:cs="仿宋"/>
          <w:color w:val="auto"/>
          <w:sz w:val="32"/>
          <w:szCs w:val="32"/>
          <w:lang w:eastAsia="zh-CN"/>
        </w:rPr>
      </w:pPr>
    </w:p>
    <w:p w14:paraId="44DEDAB3">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甲乙丙三方本着诚实守信、平等自愿、互惠互利的原则，经友好协商，签订本协议，以资共同信守。</w:t>
      </w:r>
    </w:p>
    <w:p w14:paraId="3478E65C">
      <w:pPr>
        <w:spacing w:line="560" w:lineRule="exact"/>
        <w:jc w:val="both"/>
        <w:rPr>
          <w:rFonts w:hint="eastAsia" w:ascii="仿宋" w:hAnsi="仿宋" w:eastAsia="仿宋" w:cs="仿宋"/>
          <w:b/>
          <w:color w:val="auto"/>
          <w:sz w:val="32"/>
          <w:szCs w:val="32"/>
          <w:lang w:eastAsia="zh-CN"/>
        </w:rPr>
      </w:pPr>
      <w:r>
        <w:rPr>
          <w:rFonts w:hint="eastAsia" w:ascii="仿宋" w:hAnsi="仿宋" w:eastAsia="仿宋" w:cs="仿宋"/>
          <w:b/>
          <w:color w:val="auto"/>
          <w:sz w:val="32"/>
          <w:szCs w:val="32"/>
          <w:lang w:eastAsia="zh-CN"/>
        </w:rPr>
        <w:t xml:space="preserve">    一、合作模式</w:t>
      </w:r>
    </w:p>
    <w:p w14:paraId="1D2A2F64">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甲方将革命老区南丰镇千年古榕树驿站项目（以下简称“驿站”）给乙方使用，合作打造驿站项目。在合作期间，由乙方对驿站进行管理，并按照本协议约定向甲方支付项目收益，合作期限届满后，乙方向甲方归还甲方归还驿站的经营权或甲乙丙三方重新续签合作协议书。</w:t>
      </w:r>
    </w:p>
    <w:p w14:paraId="7668CC3E">
      <w:pPr>
        <w:spacing w:line="560" w:lineRule="exact"/>
        <w:ind w:firstLine="570"/>
        <w:jc w:val="both"/>
        <w:rPr>
          <w:rFonts w:hint="eastAsia" w:ascii="仿宋" w:hAnsi="仿宋" w:eastAsia="仿宋" w:cs="仿宋"/>
          <w:b/>
          <w:color w:val="auto"/>
          <w:sz w:val="32"/>
          <w:szCs w:val="32"/>
          <w:lang w:eastAsia="zh-CN"/>
        </w:rPr>
      </w:pPr>
      <w:r>
        <w:rPr>
          <w:rFonts w:hint="eastAsia" w:ascii="仿宋" w:hAnsi="仿宋" w:eastAsia="仿宋" w:cs="仿宋"/>
          <w:b/>
          <w:color w:val="auto"/>
          <w:sz w:val="32"/>
          <w:szCs w:val="32"/>
          <w:lang w:eastAsia="zh-CN"/>
        </w:rPr>
        <w:t>二、合作项目情况</w:t>
      </w:r>
    </w:p>
    <w:p w14:paraId="2D705A37">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1.合作项目名称：革命老区南丰镇千年古榕树驿站项目</w:t>
      </w:r>
    </w:p>
    <w:p w14:paraId="4A41B4D7">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2.合作项目地址：海南省儋州市南丰镇武教村委会</w:t>
      </w:r>
    </w:p>
    <w:p w14:paraId="55C3732C">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3.该项目的资金构成：南丰镇革命老区资金</w:t>
      </w:r>
    </w:p>
    <w:p w14:paraId="46263B5F">
      <w:pPr>
        <w:spacing w:line="560" w:lineRule="exact"/>
        <w:jc w:val="both"/>
        <w:rPr>
          <w:rFonts w:hint="eastAsia" w:ascii="仿宋" w:hAnsi="仿宋" w:eastAsia="仿宋" w:cs="仿宋"/>
          <w:b/>
          <w:color w:val="auto"/>
          <w:sz w:val="32"/>
          <w:szCs w:val="32"/>
          <w:lang w:eastAsia="zh-CN"/>
        </w:rPr>
      </w:pPr>
      <w:r>
        <w:rPr>
          <w:rFonts w:hint="eastAsia" w:ascii="仿宋" w:hAnsi="仿宋" w:eastAsia="仿宋" w:cs="仿宋"/>
          <w:color w:val="auto"/>
          <w:sz w:val="32"/>
          <w:szCs w:val="32"/>
          <w:lang w:eastAsia="zh-CN"/>
        </w:rPr>
        <w:t xml:space="preserve">   </w:t>
      </w:r>
      <w:r>
        <w:rPr>
          <w:rFonts w:hint="eastAsia" w:ascii="仿宋" w:hAnsi="仿宋" w:eastAsia="仿宋" w:cs="仿宋"/>
          <w:b/>
          <w:color w:val="auto"/>
          <w:sz w:val="32"/>
          <w:szCs w:val="32"/>
          <w:lang w:eastAsia="zh-CN"/>
        </w:rPr>
        <w:t xml:space="preserve"> 三、生产设备总额和合作期限</w:t>
      </w:r>
    </w:p>
    <w:p w14:paraId="43C083ED">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1.甲方投入给乙方的驿站项目</w:t>
      </w:r>
      <w:r>
        <w:rPr>
          <w:rFonts w:hint="eastAsia" w:ascii="仿宋_GB2312" w:hAnsi="仿宋_GB2312" w:eastAsia="仿宋_GB2312" w:cs="仿宋_GB2312"/>
          <w:color w:val="auto"/>
          <w:sz w:val="32"/>
          <w:szCs w:val="32"/>
          <w:lang w:val="en-US" w:eastAsia="zh-CN"/>
        </w:rPr>
        <w:t>360.3526</w:t>
      </w:r>
      <w:r>
        <w:rPr>
          <w:rFonts w:hint="eastAsia" w:ascii="仿宋_GB2312" w:hAnsi="仿宋_GB2312" w:eastAsia="仿宋_GB2312" w:cs="仿宋_GB2312"/>
          <w:color w:val="auto"/>
          <w:sz w:val="32"/>
          <w:szCs w:val="32"/>
          <w:lang w:eastAsia="zh-CN"/>
        </w:rPr>
        <w:t>万元，由乙方生产使用。</w:t>
      </w:r>
    </w:p>
    <w:p w14:paraId="4B9201D3">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2.合作期限为20年，自</w:t>
      </w:r>
      <w:bookmarkStart w:id="0" w:name="OLE_LINK15"/>
      <w:r>
        <w:rPr>
          <w:rFonts w:hint="eastAsia" w:ascii="仿宋_GB2312" w:hAnsi="仿宋_GB2312" w:eastAsia="仿宋_GB2312" w:cs="仿宋_GB2312"/>
          <w:color w:val="auto"/>
          <w:sz w:val="32"/>
          <w:szCs w:val="32"/>
          <w:lang w:eastAsia="zh-CN"/>
        </w:rPr>
        <w:t>2026年</w:t>
      </w:r>
      <w:r>
        <w:rPr>
          <w:rFonts w:hint="eastAsia" w:ascii="仿宋_GB2312" w:hAnsi="仿宋_GB2312" w:eastAsia="仿宋_GB2312" w:cs="仿宋_GB2312"/>
          <w:color w:val="auto"/>
          <w:sz w:val="32"/>
          <w:szCs w:val="32"/>
          <w:u w:val="single"/>
          <w:lang w:eastAsia="zh-CN"/>
        </w:rPr>
        <w:t xml:space="preserve">   </w:t>
      </w:r>
      <w:r>
        <w:rPr>
          <w:rFonts w:hint="eastAsia" w:ascii="仿宋_GB2312" w:hAnsi="仿宋_GB2312" w:eastAsia="仿宋_GB2312" w:cs="仿宋_GB2312"/>
          <w:color w:val="auto"/>
          <w:sz w:val="32"/>
          <w:szCs w:val="32"/>
          <w:lang w:eastAsia="zh-CN"/>
        </w:rPr>
        <w:t>月</w:t>
      </w:r>
      <w:r>
        <w:rPr>
          <w:rFonts w:hint="eastAsia" w:ascii="仿宋_GB2312" w:hAnsi="仿宋_GB2312" w:eastAsia="仿宋_GB2312" w:cs="仿宋_GB2312"/>
          <w:color w:val="auto"/>
          <w:sz w:val="32"/>
          <w:szCs w:val="32"/>
          <w:u w:val="single"/>
          <w:lang w:eastAsia="zh-CN"/>
        </w:rPr>
        <w:t xml:space="preserve">   </w:t>
      </w:r>
      <w:r>
        <w:rPr>
          <w:rFonts w:hint="eastAsia" w:ascii="仿宋_GB2312" w:hAnsi="仿宋_GB2312" w:eastAsia="仿宋_GB2312" w:cs="仿宋_GB2312"/>
          <w:color w:val="auto"/>
          <w:sz w:val="32"/>
          <w:szCs w:val="32"/>
          <w:lang w:eastAsia="zh-CN"/>
        </w:rPr>
        <w:t>日</w:t>
      </w:r>
      <w:bookmarkEnd w:id="0"/>
      <w:r>
        <w:rPr>
          <w:rFonts w:hint="eastAsia" w:ascii="仿宋_GB2312" w:hAnsi="仿宋_GB2312" w:eastAsia="仿宋_GB2312" w:cs="仿宋_GB2312"/>
          <w:color w:val="auto"/>
          <w:sz w:val="32"/>
          <w:szCs w:val="32"/>
          <w:lang w:eastAsia="zh-CN"/>
        </w:rPr>
        <w:t>起至2046年</w:t>
      </w:r>
      <w:r>
        <w:rPr>
          <w:rFonts w:hint="eastAsia" w:ascii="仿宋_GB2312" w:hAnsi="仿宋_GB2312" w:eastAsia="仿宋_GB2312" w:cs="仿宋_GB2312"/>
          <w:color w:val="auto"/>
          <w:sz w:val="32"/>
          <w:szCs w:val="32"/>
          <w:u w:val="single"/>
          <w:lang w:eastAsia="zh-CN"/>
        </w:rPr>
        <w:t xml:space="preserve">   </w:t>
      </w:r>
      <w:r>
        <w:rPr>
          <w:rFonts w:hint="eastAsia" w:ascii="仿宋_GB2312" w:hAnsi="仿宋_GB2312" w:eastAsia="仿宋_GB2312" w:cs="仿宋_GB2312"/>
          <w:color w:val="auto"/>
          <w:sz w:val="32"/>
          <w:szCs w:val="32"/>
          <w:lang w:eastAsia="zh-CN"/>
        </w:rPr>
        <w:t>月</w:t>
      </w:r>
      <w:bookmarkStart w:id="1" w:name="OLE_LINK1"/>
      <w:r>
        <w:rPr>
          <w:rFonts w:hint="eastAsia" w:ascii="仿宋_GB2312" w:hAnsi="仿宋_GB2312" w:eastAsia="仿宋_GB2312" w:cs="仿宋_GB2312"/>
          <w:color w:val="auto"/>
          <w:sz w:val="32"/>
          <w:szCs w:val="32"/>
          <w:u w:val="single"/>
          <w:lang w:eastAsia="zh-CN"/>
        </w:rPr>
        <w:t xml:space="preserve">   </w:t>
      </w:r>
      <w:r>
        <w:rPr>
          <w:rFonts w:hint="eastAsia" w:ascii="仿宋_GB2312" w:hAnsi="仿宋_GB2312" w:eastAsia="仿宋_GB2312" w:cs="仿宋_GB2312"/>
          <w:color w:val="auto"/>
          <w:sz w:val="32"/>
          <w:szCs w:val="32"/>
          <w:lang w:eastAsia="zh-CN"/>
        </w:rPr>
        <w:t>日</w:t>
      </w:r>
      <w:bookmarkEnd w:id="1"/>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EE0000"/>
          <w:sz w:val="32"/>
          <w:szCs w:val="32"/>
          <w:lang w:eastAsia="zh-CN"/>
        </w:rPr>
        <w:t>以签订合同之日起计算为准</w:t>
      </w:r>
      <w:r>
        <w:rPr>
          <w:rFonts w:hint="eastAsia" w:ascii="仿宋_GB2312" w:hAnsi="仿宋_GB2312" w:eastAsia="仿宋_GB2312" w:cs="仿宋_GB2312"/>
          <w:color w:val="auto"/>
          <w:sz w:val="32"/>
          <w:szCs w:val="32"/>
          <w:lang w:eastAsia="zh-CN"/>
        </w:rPr>
        <w:t>）。</w:t>
      </w:r>
    </w:p>
    <w:p w14:paraId="3B5CD69E">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3.本项目固定收益年化收益率：</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w:t>
      </w:r>
    </w:p>
    <w:p w14:paraId="3078672A">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.甲方投入的驿站为固定额，今后不因合作项目资金不足而增加资金，项目经营建设所需资金不足部分和后续经营建设所需资金等均由乙方承担，并由乙方负责补足相应资金，保证项目正常运营。</w:t>
      </w:r>
    </w:p>
    <w:p w14:paraId="161A8A1B">
      <w:pPr>
        <w:spacing w:line="560" w:lineRule="exact"/>
        <w:ind w:firstLine="560"/>
        <w:jc w:val="both"/>
        <w:rPr>
          <w:rFonts w:hint="eastAsia" w:ascii="仿宋" w:hAnsi="仿宋" w:eastAsia="仿宋" w:cs="仿宋"/>
          <w:b/>
          <w:color w:val="auto"/>
          <w:sz w:val="32"/>
          <w:szCs w:val="32"/>
          <w:lang w:eastAsia="zh-CN"/>
        </w:rPr>
      </w:pPr>
      <w:r>
        <w:rPr>
          <w:rFonts w:hint="eastAsia" w:ascii="仿宋" w:hAnsi="仿宋" w:eastAsia="仿宋" w:cs="仿宋"/>
          <w:b/>
          <w:color w:val="auto"/>
          <w:sz w:val="32"/>
          <w:szCs w:val="32"/>
          <w:lang w:eastAsia="zh-CN"/>
        </w:rPr>
        <w:t>四、项目收益分配</w:t>
      </w:r>
    </w:p>
    <w:p w14:paraId="1A9D2678">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1.本项目的收益分配方式是：本项目收益按年支付，乙方</w:t>
      </w:r>
      <w:r>
        <w:rPr>
          <w:rFonts w:hint="eastAsia" w:ascii="仿宋_GB2312" w:hAnsi="仿宋_GB2312" w:eastAsia="仿宋_GB2312" w:cs="仿宋_GB2312"/>
          <w:color w:val="EE0000"/>
          <w:sz w:val="32"/>
          <w:szCs w:val="32"/>
          <w:lang w:eastAsia="zh-CN"/>
        </w:rPr>
        <w:t>自本项目正常生产经营之日</w:t>
      </w:r>
      <w:r>
        <w:rPr>
          <w:rFonts w:hint="eastAsia" w:ascii="仿宋_GB2312" w:hAnsi="仿宋_GB2312" w:eastAsia="仿宋_GB2312" w:cs="仿宋_GB2312"/>
          <w:color w:val="auto"/>
          <w:sz w:val="32"/>
          <w:szCs w:val="32"/>
          <w:lang w:eastAsia="zh-CN"/>
        </w:rPr>
        <w:t>起每年</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月</w:t>
      </w:r>
      <w:r>
        <w:rPr>
          <w:rFonts w:hint="eastAsia" w:ascii="仿宋_GB2312" w:hAnsi="仿宋_GB2312" w:eastAsia="仿宋_GB2312" w:cs="仿宋_GB2312"/>
          <w:color w:val="auto"/>
          <w:sz w:val="32"/>
          <w:szCs w:val="32"/>
          <w:lang w:val="en-US" w:eastAsia="zh-CN"/>
        </w:rPr>
        <w:t>31</w:t>
      </w:r>
      <w:r>
        <w:rPr>
          <w:rFonts w:hint="eastAsia" w:ascii="仿宋_GB2312" w:hAnsi="仿宋_GB2312" w:eastAsia="仿宋_GB2312" w:cs="仿宋_GB2312"/>
          <w:color w:val="auto"/>
          <w:sz w:val="32"/>
          <w:szCs w:val="32"/>
          <w:lang w:eastAsia="zh-CN"/>
        </w:rPr>
        <w:t>日前按甲方投入生产设备原值的</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%支付项目收益。</w:t>
      </w:r>
    </w:p>
    <w:p w14:paraId="56B80E40">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2.乙方已知该资金属于南丰镇革命老区资金，如果中央和省级对南丰镇革命老区资金政策进行调整的，三方应协商变更合作内容。如果</w:t>
      </w:r>
      <w:r>
        <w:rPr>
          <w:rFonts w:ascii="仿宋_GB2312" w:hAnsi="仿宋_GB2312" w:eastAsia="仿宋_GB2312" w:cs="仿宋_GB2312"/>
          <w:color w:val="auto"/>
          <w:sz w:val="32"/>
          <w:szCs w:val="32"/>
          <w:lang w:eastAsia="zh-CN"/>
        </w:rPr>
        <w:t>政策调整要求提高收益支付比例、缩短合作期限等对乙方明显不利且</w:t>
      </w:r>
      <w:r>
        <w:rPr>
          <w:rFonts w:hint="eastAsia" w:ascii="仿宋_GB2312" w:hAnsi="仿宋_GB2312" w:eastAsia="仿宋_GB2312" w:cs="仿宋_GB2312"/>
          <w:color w:val="auto"/>
          <w:sz w:val="32"/>
          <w:szCs w:val="32"/>
          <w:lang w:eastAsia="zh-CN"/>
        </w:rPr>
        <w:t>对乙方</w:t>
      </w:r>
      <w:r>
        <w:rPr>
          <w:rFonts w:ascii="仿宋_GB2312" w:hAnsi="仿宋_GB2312" w:eastAsia="仿宋_GB2312" w:cs="仿宋_GB2312"/>
          <w:color w:val="auto"/>
          <w:sz w:val="32"/>
          <w:szCs w:val="32"/>
          <w:lang w:eastAsia="zh-CN"/>
        </w:rPr>
        <w:t>无相应补偿的，乙方有权解除本协议且不承担违约责任</w:t>
      </w:r>
      <w:r>
        <w:rPr>
          <w:rFonts w:hint="eastAsia" w:ascii="仿宋_GB2312" w:hAnsi="仿宋_GB2312" w:eastAsia="仿宋_GB2312" w:cs="仿宋_GB2312"/>
          <w:color w:val="auto"/>
          <w:sz w:val="32"/>
          <w:szCs w:val="32"/>
          <w:lang w:eastAsia="zh-CN"/>
        </w:rPr>
        <w:t>。</w:t>
      </w:r>
    </w:p>
    <w:p w14:paraId="6E0783DD">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3.乙方已知晓该资金为“南丰镇革命老区资金”，且知晓履行该协议中的商业风险和政策风险，并承诺保证“南丰镇革命老区资金”的安全，</w:t>
      </w:r>
      <w:bookmarkStart w:id="2" w:name="OLE_LINK8"/>
      <w:r>
        <w:rPr>
          <w:rFonts w:hint="eastAsia" w:ascii="仿宋_GB2312" w:hAnsi="仿宋_GB2312" w:eastAsia="仿宋_GB2312" w:cs="仿宋_GB2312"/>
          <w:color w:val="auto"/>
          <w:sz w:val="32"/>
          <w:szCs w:val="32"/>
          <w:lang w:eastAsia="zh-CN"/>
        </w:rPr>
        <w:t>除政策调整、不可抗力及甲方违约情形外</w:t>
      </w:r>
      <w:bookmarkEnd w:id="2"/>
      <w:r>
        <w:rPr>
          <w:rFonts w:hint="eastAsia" w:ascii="仿宋_GB2312" w:hAnsi="仿宋_GB2312" w:eastAsia="仿宋_GB2312" w:cs="仿宋_GB2312"/>
          <w:color w:val="auto"/>
          <w:sz w:val="32"/>
          <w:szCs w:val="32"/>
          <w:lang w:eastAsia="zh-CN"/>
        </w:rPr>
        <w:t>，甲方的项目固定收益不受企业自身经营风险、商业风险的影响，保证将按期足额支付上述款项，且合作期限届满后或者协议解除后无条件向甲方归还其投入的驿站并结清固定收益。</w:t>
      </w:r>
    </w:p>
    <w:p w14:paraId="315AB497">
      <w:pPr>
        <w:spacing w:line="560" w:lineRule="exact"/>
        <w:ind w:firstLine="560"/>
        <w:jc w:val="both"/>
        <w:rPr>
          <w:rFonts w:hint="eastAsia" w:ascii="仿宋" w:hAnsi="仿宋" w:eastAsia="仿宋" w:cs="仿宋"/>
          <w:b/>
          <w:color w:val="auto"/>
          <w:sz w:val="32"/>
          <w:szCs w:val="32"/>
          <w:lang w:eastAsia="zh-CN"/>
        </w:rPr>
      </w:pPr>
      <w:r>
        <w:rPr>
          <w:rFonts w:hint="eastAsia" w:ascii="仿宋" w:hAnsi="仿宋" w:eastAsia="仿宋" w:cs="仿宋"/>
          <w:b/>
          <w:color w:val="auto"/>
          <w:sz w:val="32"/>
          <w:szCs w:val="32"/>
          <w:lang w:eastAsia="zh-CN"/>
        </w:rPr>
        <w:t>五、各方的权利、义务</w:t>
      </w:r>
    </w:p>
    <w:p w14:paraId="7FCECFB5">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（一）甲方的权利、义务</w:t>
      </w:r>
    </w:p>
    <w:p w14:paraId="3C033E34">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1.乙方每年将固定收益支付至甲方银行账户，甲方银行账号信息如下：</w:t>
      </w:r>
    </w:p>
    <w:p w14:paraId="637616A6">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开户行：</w:t>
      </w:r>
    </w:p>
    <w:p w14:paraId="444FBC44">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账户名称：</w:t>
      </w:r>
    </w:p>
    <w:p w14:paraId="41F64E00">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账号：</w:t>
      </w:r>
    </w:p>
    <w:p w14:paraId="211B32EA">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甲方不直接参与本项目的经营管理，本项目由乙方自行经营管理，并自行承担全部商业、经营风险。除政策调整、不可抗力及甲方违约情形外，乙方不得以商业风险、经营亏损等理由拒不向甲方支付固定收益。因政策调整、不可抗力及甲方违约导致支付逾期的，乙方不承担违约责任。乙方不得变卖或抵押甲方投入的驿站。</w:t>
      </w:r>
    </w:p>
    <w:p w14:paraId="2B7CF77A">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3.乙方在经营管理本项目过程中，违反本协议约定义务的，甲方、丙方有权要求乙方限期改正。</w:t>
      </w:r>
    </w:p>
    <w:p w14:paraId="742ECD32">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（二）乙方的权利、义务</w:t>
      </w:r>
    </w:p>
    <w:p w14:paraId="4282FB1D">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乙方负责项目具体运营，项目的开发建设、运营管理、技术支持由乙方全权负责，但是，乙方须自觉接受政府相关职能部门（例如财政、农业农村局、审计部门等）为监督南丰镇革命老区资金运行安全而行使的监督、检查行为。</w:t>
      </w:r>
    </w:p>
    <w:p w14:paraId="35E85C6E">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乙方应创造条件为甲方的脱贫户、监测对象等困难群众提供就业机会，在同等条件下优先录用甲方的脱贫户、监测对象等困难群众劳动力，在同等条件下优先雇佣甲方的脱贫户、监测对象等困难群众完成其临时性的劳务工作；每年至少组织1场技术培训，给有需要的农户提供技术帮扶，在采购、回收农产品时，同等条件下优先考虑困难群众产出产品；乙方有用地需求优先考虑流转、租赁本村集体、村民闲置土地。</w:t>
      </w:r>
    </w:p>
    <w:p w14:paraId="2E2EBA15">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（三）丙方的权利义务</w:t>
      </w:r>
    </w:p>
    <w:p w14:paraId="51A59477">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丙方负责监督投资收益的发放过程，对发放过程出现的问题进行及时协调和处理，确保投资收益能及时发放。</w:t>
      </w:r>
    </w:p>
    <w:p w14:paraId="583D7517">
      <w:pPr>
        <w:pStyle w:val="13"/>
        <w:adjustRightInd w:val="0"/>
        <w:snapToGrid w:val="0"/>
        <w:spacing w:line="560" w:lineRule="exact"/>
        <w:ind w:firstLine="643"/>
        <w:jc w:val="both"/>
        <w:rPr>
          <w:rFonts w:hint="eastAsia" w:ascii="仿宋" w:hAnsi="仿宋" w:eastAsia="仿宋" w:cs="仿宋"/>
          <w:bCs/>
          <w:color w:val="auto"/>
          <w:sz w:val="32"/>
          <w:szCs w:val="32"/>
          <w:lang w:eastAsia="zh-CN"/>
        </w:rPr>
      </w:pPr>
      <w:r>
        <w:rPr>
          <w:rFonts w:hint="eastAsia" w:ascii="仿宋" w:hAnsi="仿宋" w:eastAsia="仿宋" w:cs="仿宋"/>
          <w:b/>
          <w:color w:val="auto"/>
          <w:sz w:val="32"/>
          <w:szCs w:val="32"/>
          <w:lang w:eastAsia="zh-CN"/>
        </w:rPr>
        <w:t>六、违约责任</w:t>
      </w:r>
    </w:p>
    <w:p w14:paraId="48C1E7B8">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1.乙方承诺，若不能按期足额向甲方支付项目固定收益的，要提前与甲、丙两方沟通，在取得同意后，再约定分红时间，</w:t>
      </w:r>
      <w:bookmarkStart w:id="3" w:name="_Hlk233361829"/>
      <w:r>
        <w:rPr>
          <w:rFonts w:hint="eastAsia" w:ascii="仿宋_GB2312" w:hAnsi="仿宋_GB2312" w:eastAsia="仿宋_GB2312" w:cs="仿宋_GB2312"/>
          <w:color w:val="auto"/>
          <w:sz w:val="32"/>
          <w:szCs w:val="32"/>
          <w:lang w:eastAsia="zh-CN"/>
        </w:rPr>
        <w:t>否则每逾期一日，应向甲方支付未支付费用日万分之二的逾期违约金</w:t>
      </w:r>
      <w:bookmarkEnd w:id="3"/>
      <w:r>
        <w:rPr>
          <w:rFonts w:hint="eastAsia" w:ascii="仿宋_GB2312" w:hAnsi="仿宋_GB2312" w:eastAsia="仿宋_GB2312" w:cs="仿宋_GB2312"/>
          <w:color w:val="auto"/>
          <w:sz w:val="32"/>
          <w:szCs w:val="32"/>
          <w:lang w:eastAsia="zh-CN"/>
        </w:rPr>
        <w:t>。</w:t>
      </w:r>
      <w:bookmarkStart w:id="4" w:name="OLE_LINK11"/>
      <w:r>
        <w:rPr>
          <w:rFonts w:hint="eastAsia" w:ascii="仿宋_GB2312" w:hAnsi="仿宋_GB2312" w:eastAsia="仿宋_GB2312" w:cs="仿宋_GB2312"/>
          <w:color w:val="auto"/>
          <w:sz w:val="32"/>
          <w:szCs w:val="32"/>
          <w:lang w:eastAsia="zh-CN"/>
        </w:rPr>
        <w:t>累计逾期达60日的，甲方有权单方解除本协议。</w:t>
      </w:r>
    </w:p>
    <w:bookmarkEnd w:id="4"/>
    <w:p w14:paraId="51E35B0E">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2.乙方承诺，在合作期间内，不得将属于甲方的驿站进行对外抵押或变卖，如需将属于甲方的驿站进行对外抵押或变卖的需经过甲、丙双方同意。</w:t>
      </w:r>
    </w:p>
    <w:p w14:paraId="1A29006E">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3.乙方在经营管理本项目过程中，违反本协议约定义务的，或未按第三条第4项约定用途使用驿站的，经甲方、丙方要求乙方限期改正，逾期未改正或改正后仍不符合协议约定的，甲方有权解除本协议。</w:t>
      </w:r>
    </w:p>
    <w:p w14:paraId="3202355B">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4.</w:t>
      </w:r>
      <w:r>
        <w:rPr>
          <w:rFonts w:ascii="仿宋_GB2312" w:hAnsi="仿宋_GB2312" w:eastAsia="仿宋_GB2312" w:cs="仿宋_GB2312"/>
          <w:color w:val="auto"/>
          <w:sz w:val="32"/>
          <w:szCs w:val="32"/>
          <w:lang w:eastAsia="zh-CN"/>
        </w:rPr>
        <w:t>本协议因乙方原因提前终止或解除，且合作期限未满20年的，乙方除应无条件退还甲方的</w:t>
      </w:r>
      <w:r>
        <w:rPr>
          <w:rFonts w:hint="eastAsia" w:ascii="仿宋_GB2312" w:hAnsi="仿宋_GB2312" w:eastAsia="仿宋_GB2312" w:cs="仿宋_GB2312"/>
          <w:color w:val="auto"/>
          <w:sz w:val="32"/>
          <w:szCs w:val="32"/>
          <w:lang w:eastAsia="zh-CN"/>
        </w:rPr>
        <w:t>驿站</w:t>
      </w:r>
      <w:r>
        <w:rPr>
          <w:rFonts w:ascii="仿宋_GB2312" w:hAnsi="仿宋_GB2312" w:eastAsia="仿宋_GB2312" w:cs="仿宋_GB2312"/>
          <w:color w:val="auto"/>
          <w:sz w:val="32"/>
          <w:szCs w:val="32"/>
          <w:lang w:eastAsia="zh-CN"/>
        </w:rPr>
        <w:t>和结清全部项目收益</w:t>
      </w:r>
      <w:r>
        <w:rPr>
          <w:rFonts w:hint="eastAsia" w:ascii="仿宋_GB2312" w:hAnsi="仿宋_GB2312" w:eastAsia="仿宋_GB2312" w:cs="仿宋_GB2312"/>
          <w:color w:val="auto"/>
          <w:sz w:val="32"/>
          <w:szCs w:val="32"/>
          <w:lang w:eastAsia="zh-CN"/>
        </w:rPr>
        <w:t>。项目收益和违约赔偿金</w:t>
      </w:r>
      <w:r>
        <w:rPr>
          <w:rFonts w:ascii="仿宋_GB2312" w:hAnsi="仿宋_GB2312" w:eastAsia="仿宋_GB2312" w:cs="仿宋_GB2312"/>
          <w:color w:val="auto"/>
          <w:sz w:val="32"/>
          <w:szCs w:val="32"/>
          <w:lang w:eastAsia="zh-CN"/>
        </w:rPr>
        <w:t>乙方应当在接到甲方通知之日起15日内全部支付给甲方，乙方逾期支付的，每逾期一日按所欠数额的万分之</w:t>
      </w:r>
      <w:r>
        <w:rPr>
          <w:rFonts w:hint="eastAsia" w:ascii="仿宋_GB2312" w:hAnsi="仿宋_GB2312" w:eastAsia="仿宋_GB2312" w:cs="仿宋_GB2312"/>
          <w:color w:val="auto"/>
          <w:sz w:val="32"/>
          <w:szCs w:val="32"/>
          <w:lang w:eastAsia="zh-CN"/>
        </w:rPr>
        <w:t>二</w:t>
      </w:r>
      <w:r>
        <w:rPr>
          <w:rFonts w:ascii="仿宋_GB2312" w:hAnsi="仿宋_GB2312" w:eastAsia="仿宋_GB2312" w:cs="仿宋_GB2312"/>
          <w:color w:val="auto"/>
          <w:sz w:val="32"/>
          <w:szCs w:val="32"/>
          <w:lang w:eastAsia="zh-CN"/>
        </w:rPr>
        <w:t>支付资金占用费。</w:t>
      </w:r>
    </w:p>
    <w:p w14:paraId="19C5C325">
      <w:pPr>
        <w:spacing w:line="560" w:lineRule="exact"/>
        <w:ind w:firstLine="560"/>
        <w:jc w:val="both"/>
        <w:rPr>
          <w:rFonts w:hint="eastAsia" w:ascii="仿宋" w:hAnsi="仿宋" w:eastAsia="仿宋" w:cs="仿宋"/>
          <w:b/>
          <w:color w:val="auto"/>
          <w:sz w:val="32"/>
          <w:szCs w:val="32"/>
          <w:lang w:eastAsia="zh-CN"/>
        </w:rPr>
      </w:pPr>
      <w:r>
        <w:rPr>
          <w:rFonts w:hint="eastAsia" w:ascii="仿宋" w:hAnsi="仿宋" w:eastAsia="仿宋" w:cs="仿宋"/>
          <w:b/>
          <w:color w:val="auto"/>
          <w:sz w:val="32"/>
          <w:szCs w:val="32"/>
          <w:lang w:eastAsia="zh-CN"/>
        </w:rPr>
        <w:t>七、协议的终止</w:t>
      </w:r>
    </w:p>
    <w:p w14:paraId="52DC292C">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（一）发生下列情形之一的，本协议终止；</w:t>
      </w:r>
    </w:p>
    <w:p w14:paraId="632468CE">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1.经甲乙丙协商一致同意提前终止协议；</w:t>
      </w:r>
    </w:p>
    <w:p w14:paraId="06D58F4A">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2.合作期限到期，各方不续约；</w:t>
      </w:r>
    </w:p>
    <w:p w14:paraId="49E6C54D">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3.根据国家法律、法规、规章、省或市政府文件要求，应解除本协议的；</w:t>
      </w:r>
    </w:p>
    <w:p w14:paraId="352BF663">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4.</w:t>
      </w:r>
      <w:r>
        <w:rPr>
          <w:rFonts w:ascii="仿宋_GB2312" w:hAnsi="仿宋_GB2312" w:eastAsia="仿宋_GB2312" w:cs="仿宋_GB2312"/>
          <w:color w:val="auto"/>
          <w:sz w:val="32"/>
          <w:szCs w:val="32"/>
          <w:lang w:eastAsia="zh-CN"/>
        </w:rPr>
        <w:t>甲方因授权或政府审批等原因须提前收回</w:t>
      </w:r>
      <w:r>
        <w:rPr>
          <w:rFonts w:hint="eastAsia" w:ascii="仿宋_GB2312" w:hAnsi="仿宋_GB2312" w:eastAsia="仿宋_GB2312" w:cs="仿宋_GB2312"/>
          <w:color w:val="auto"/>
          <w:sz w:val="32"/>
          <w:szCs w:val="32"/>
          <w:lang w:eastAsia="zh-CN"/>
        </w:rPr>
        <w:t>驿站</w:t>
      </w:r>
      <w:r>
        <w:rPr>
          <w:rFonts w:ascii="仿宋_GB2312" w:hAnsi="仿宋_GB2312" w:eastAsia="仿宋_GB2312" w:cs="仿宋_GB2312"/>
          <w:color w:val="auto"/>
          <w:sz w:val="32"/>
          <w:szCs w:val="32"/>
          <w:lang w:eastAsia="zh-CN"/>
        </w:rPr>
        <w:t>的，应提前六个月书面通知乙方，并为乙方处理善后事宜提供合理期限与必要协助</w:t>
      </w:r>
      <w:r>
        <w:rPr>
          <w:rFonts w:hint="eastAsia" w:ascii="仿宋_GB2312" w:hAnsi="仿宋_GB2312" w:eastAsia="仿宋_GB2312" w:cs="仿宋_GB2312"/>
          <w:color w:val="auto"/>
          <w:sz w:val="32"/>
          <w:szCs w:val="32"/>
          <w:lang w:eastAsia="zh-CN"/>
        </w:rPr>
        <w:t>，并</w:t>
      </w:r>
      <w:r>
        <w:rPr>
          <w:rFonts w:ascii="仿宋_GB2312" w:hAnsi="仿宋_GB2312" w:eastAsia="仿宋_GB2312" w:cs="仿宋_GB2312"/>
          <w:color w:val="auto"/>
          <w:sz w:val="32"/>
          <w:szCs w:val="32"/>
          <w:lang w:eastAsia="zh-CN"/>
        </w:rPr>
        <w:t>应赔偿乙方因此遭受的直接经济损失（不包括预期利益损失）。</w:t>
      </w:r>
    </w:p>
    <w:p w14:paraId="7297FE84">
      <w:pPr>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5.因乙方违约导致甲方行使解除权的；</w:t>
      </w:r>
    </w:p>
    <w:p w14:paraId="4C0C03E4">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6.因乙方不按协议规定使用生产设备的；</w:t>
      </w:r>
    </w:p>
    <w:p w14:paraId="03FE1813">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7.因甲方违约导致乙方行使解除权的。</w:t>
      </w:r>
    </w:p>
    <w:p w14:paraId="45EE4700">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二）本协议因本条第（一）款第1-4点原因终止的，各方均不构成违约，届时乙方只需将驿站移交给甲方。因本条第（一）款第5-6点原因终止的，乙方按本协议第六条第4款约定承担违约责任。因本条第（一）款第7点原因终止的，甲方按本协议约定承担违约责任。</w:t>
      </w:r>
    </w:p>
    <w:p w14:paraId="6126AA62">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三）本协议终止的，乙方应向甲方退还甲方的驿站并支付剩余未结清项目收益。剩余未结清项目收益的计算公式为：甲方驿站的4%÷365×剩余未结清项目收益的天数（项目收益计算至乙方实际退还全部驿站之日止）。除另有约定外，乙方应在协议终止之日起15天内无条件一次性退还甲方驿站并结清合作期限的项目收益。乙方逾期退还和支付上述款项的，每逾期一日按所欠数额的万分之二计算驿站占用费。</w:t>
      </w:r>
    </w:p>
    <w:p w14:paraId="23635436">
      <w:pPr>
        <w:pStyle w:val="13"/>
        <w:adjustRightInd w:val="0"/>
        <w:snapToGrid w:val="0"/>
        <w:spacing w:line="560" w:lineRule="exact"/>
        <w:ind w:firstLine="64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四）本协议因本条第（一）款第1点导致协议终止的，解除协议中载明的日期即为协议终止日；因本条第（一）款第2点导致协议终止的，自约定的合作期限届满之日即为协议终止日；因本条第（一）款第3、4、5、6点导致协议终止的，自甲方书面通知载明的日期为协议终止日；因本条第（一）款第7点导致协议终止的，自乙方书面通知载明的日期为协议终止日。</w:t>
      </w:r>
    </w:p>
    <w:p w14:paraId="34A25098">
      <w:pPr>
        <w:pStyle w:val="13"/>
        <w:adjustRightInd w:val="0"/>
        <w:snapToGrid w:val="0"/>
        <w:spacing w:line="560" w:lineRule="exact"/>
        <w:ind w:firstLine="640"/>
        <w:jc w:val="both"/>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（五）因本条第（一）款第2点导致协议终止的，乙方应在协议终止日无条件退还甲方的驿站并结清合作期间的项目收益。</w:t>
      </w:r>
    </w:p>
    <w:p w14:paraId="51FA9ACE">
      <w:pPr>
        <w:spacing w:line="560" w:lineRule="exact"/>
        <w:rPr>
          <w:rFonts w:hint="eastAsia" w:ascii="仿宋" w:hAnsi="仿宋" w:eastAsia="仿宋" w:cs="仿宋"/>
          <w:color w:val="auto"/>
          <w:sz w:val="32"/>
          <w:szCs w:val="32"/>
          <w:lang w:eastAsia="zh-CN"/>
        </w:rPr>
      </w:pPr>
      <w:r>
        <w:rPr>
          <w:rFonts w:hint="eastAsia" w:ascii="仿宋" w:hAnsi="仿宋" w:eastAsia="仿宋" w:cs="仿宋"/>
          <w:b/>
          <w:color w:val="auto"/>
          <w:sz w:val="32"/>
          <w:szCs w:val="32"/>
          <w:lang w:eastAsia="zh-CN"/>
        </w:rPr>
        <w:t xml:space="preserve">    八、争议解决</w:t>
      </w:r>
    </w:p>
    <w:p w14:paraId="1611A489">
      <w:pPr>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协议履行地为儋州市，甲乙丙三方产生争议的，应友好协商解决，协商不成，任一方均可向儋州市人民法院提起诉讼，守约方为维护自身合法权益产生的诉讼费、律师费、保全费、公证费等相关费用，由违约方承担。</w:t>
      </w:r>
    </w:p>
    <w:p w14:paraId="3DE1CB20">
      <w:pPr>
        <w:spacing w:line="560" w:lineRule="exact"/>
        <w:rPr>
          <w:rFonts w:hint="eastAsia" w:ascii="仿宋" w:hAnsi="仿宋" w:eastAsia="仿宋" w:cs="仿宋"/>
          <w:b/>
          <w:color w:val="auto"/>
          <w:sz w:val="32"/>
          <w:szCs w:val="32"/>
          <w:lang w:eastAsia="zh-CN"/>
        </w:rPr>
      </w:pPr>
      <w:r>
        <w:rPr>
          <w:rFonts w:hint="eastAsia" w:ascii="仿宋" w:hAnsi="仿宋" w:eastAsia="仿宋" w:cs="仿宋"/>
          <w:color w:val="auto"/>
          <w:sz w:val="32"/>
          <w:szCs w:val="32"/>
          <w:lang w:eastAsia="zh-CN"/>
        </w:rPr>
        <w:t xml:space="preserve">  </w:t>
      </w:r>
      <w:r>
        <w:rPr>
          <w:rFonts w:hint="eastAsia" w:ascii="仿宋" w:hAnsi="仿宋" w:eastAsia="仿宋" w:cs="仿宋"/>
          <w:b/>
          <w:bCs/>
          <w:color w:val="auto"/>
          <w:sz w:val="32"/>
          <w:szCs w:val="32"/>
          <w:lang w:eastAsia="zh-CN"/>
        </w:rPr>
        <w:t xml:space="preserve">  十、</w:t>
      </w:r>
      <w:r>
        <w:rPr>
          <w:rFonts w:hint="eastAsia" w:ascii="仿宋" w:hAnsi="仿宋" w:eastAsia="仿宋" w:cs="仿宋"/>
          <w:b/>
          <w:color w:val="auto"/>
          <w:sz w:val="32"/>
          <w:szCs w:val="32"/>
          <w:lang w:eastAsia="zh-CN"/>
        </w:rPr>
        <w:t>协议的生效及份数</w:t>
      </w:r>
    </w:p>
    <w:p w14:paraId="1A3A5CAD">
      <w:pPr>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本协议自三方签字并盖章之日起生效，壹式伍份，丙执叁份，甲、乙各执壹份，各份具有同等的法律效力。</w:t>
      </w:r>
    </w:p>
    <w:p w14:paraId="4C02085A">
      <w:pPr>
        <w:spacing w:line="560" w:lineRule="exact"/>
        <w:ind w:firstLine="643" w:firstLineChars="200"/>
        <w:rPr>
          <w:rFonts w:hint="eastAsia" w:ascii="仿宋" w:hAnsi="仿宋" w:eastAsia="仿宋" w:cs="仿宋"/>
          <w:b/>
          <w:color w:val="auto"/>
          <w:sz w:val="32"/>
          <w:szCs w:val="32"/>
          <w:lang w:eastAsia="zh-CN"/>
        </w:rPr>
      </w:pPr>
      <w:r>
        <w:rPr>
          <w:rFonts w:hint="eastAsia" w:ascii="仿宋" w:hAnsi="仿宋" w:eastAsia="仿宋" w:cs="仿宋"/>
          <w:b/>
          <w:color w:val="auto"/>
          <w:sz w:val="32"/>
          <w:szCs w:val="32"/>
          <w:lang w:eastAsia="zh-CN"/>
        </w:rPr>
        <w:t>十一、其他</w:t>
      </w:r>
    </w:p>
    <w:p w14:paraId="02E294D7">
      <w:pPr>
        <w:spacing w:line="56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.合作期间，一方法人名称、法定代表人、法定住所等发生变化而未书面通知另一方时，一方按本合同所载信息向另一方发送的所有文书，视同送达。</w:t>
      </w:r>
    </w:p>
    <w:p w14:paraId="4974B679">
      <w:pPr>
        <w:spacing w:line="56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.各方知道并了解本项目为南丰镇革命老区资金合作项目，如根据国家法律、法规、规章、省或市政府文件的要求，需终止合同或调整项目收益分配的，各方均不构成违约。</w:t>
      </w:r>
    </w:p>
    <w:p w14:paraId="1D892CE8">
      <w:pPr>
        <w:spacing w:line="560" w:lineRule="exact"/>
        <w:ind w:firstLine="480" w:firstLineChars="200"/>
        <w:jc w:val="both"/>
        <w:rPr>
          <w:rFonts w:hint="eastAsia" w:ascii="仿宋_GB2312" w:hAnsi="仿宋_GB2312" w:eastAsia="仿宋_GB2312" w:cs="仿宋_GB2312"/>
          <w:color w:val="auto"/>
          <w:sz w:val="32"/>
          <w:szCs w:val="32"/>
          <w:lang w:eastAsia="zh-CN"/>
        </w:rPr>
      </w:pPr>
      <w:r>
        <w:rPr>
          <w:rFonts w:ascii="宋体" w:hAnsi="宋体" w:eastAsia="宋体" w:cs="宋体"/>
          <w:color w:val="auto"/>
          <w:lang w:eastAsia="zh-CN"/>
        </w:rPr>
        <w:br w:type="textWrapping"/>
      </w:r>
    </w:p>
    <w:p w14:paraId="328C8ECF">
      <w:pPr>
        <w:spacing w:line="560" w:lineRule="exact"/>
        <w:rPr>
          <w:rFonts w:hint="eastAsia" w:ascii="仿宋" w:hAnsi="仿宋" w:eastAsia="仿宋" w:cs="仿宋"/>
          <w:color w:val="auto"/>
          <w:sz w:val="32"/>
          <w:szCs w:val="32"/>
          <w:lang w:eastAsia="zh-CN"/>
        </w:rPr>
      </w:pPr>
    </w:p>
    <w:p w14:paraId="554F5C76">
      <w:pPr>
        <w:spacing w:line="560" w:lineRule="exac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甲方（盖章）：                   乙方（盖章）：</w:t>
      </w:r>
    </w:p>
    <w:p w14:paraId="609AFCB9">
      <w:pPr>
        <w:spacing w:line="560" w:lineRule="exac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法定代表人（签章）：             法定代表人（签章） ：</w:t>
      </w:r>
    </w:p>
    <w:p w14:paraId="34DE2797">
      <w:pPr>
        <w:spacing w:line="560" w:lineRule="exac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2026年x月x日                  2026年x月x日 </w:t>
      </w:r>
    </w:p>
    <w:p w14:paraId="49A1924A">
      <w:pPr>
        <w:spacing w:line="560" w:lineRule="exact"/>
        <w:ind w:firstLine="640" w:firstLineChars="200"/>
        <w:rPr>
          <w:rFonts w:hint="eastAsia" w:ascii="仿宋_GB2312" w:hAnsi="仿宋_GB2312" w:eastAsia="仿宋_GB2312" w:cs="仿宋_GB2312"/>
          <w:color w:val="auto"/>
          <w:sz w:val="32"/>
          <w:szCs w:val="32"/>
          <w:lang w:eastAsia="zh-CN"/>
        </w:rPr>
      </w:pPr>
    </w:p>
    <w:p w14:paraId="5675F0D5">
      <w:pPr>
        <w:spacing w:line="560" w:lineRule="exac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丙方（盖章）：                                    </w:t>
      </w:r>
    </w:p>
    <w:p w14:paraId="05A4EDF4">
      <w:pPr>
        <w:spacing w:line="560" w:lineRule="exac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法定代表人（签章）：             </w:t>
      </w:r>
    </w:p>
    <w:p w14:paraId="23496390">
      <w:pPr>
        <w:spacing w:line="560" w:lineRule="exac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2026年x月x日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0BC8A">
    <w:pPr>
      <w:spacing w:line="1" w:lineRule="exac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2698B1">
                          <w:pPr>
                            <w:pStyle w:val="4"/>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22698B1">
                    <w:pPr>
                      <w:pStyle w:val="4"/>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VhZjA0MTVhMGQ1ODcyMDYzYjQ4MmFkYTE4ZjI2ODgifQ=="/>
  </w:docVars>
  <w:rsids>
    <w:rsidRoot w:val="004A093A"/>
    <w:rsid w:val="00034875"/>
    <w:rsid w:val="00036CBC"/>
    <w:rsid w:val="000738A0"/>
    <w:rsid w:val="000910B2"/>
    <w:rsid w:val="000E2C6A"/>
    <w:rsid w:val="00137043"/>
    <w:rsid w:val="00143632"/>
    <w:rsid w:val="0015698B"/>
    <w:rsid w:val="00160C47"/>
    <w:rsid w:val="00181C96"/>
    <w:rsid w:val="00183553"/>
    <w:rsid w:val="001F7BA8"/>
    <w:rsid w:val="0020558B"/>
    <w:rsid w:val="002207E3"/>
    <w:rsid w:val="002249FB"/>
    <w:rsid w:val="00240067"/>
    <w:rsid w:val="00265B3F"/>
    <w:rsid w:val="00277C97"/>
    <w:rsid w:val="002A0716"/>
    <w:rsid w:val="002B1E1B"/>
    <w:rsid w:val="00365C7B"/>
    <w:rsid w:val="00365D48"/>
    <w:rsid w:val="00375854"/>
    <w:rsid w:val="003759E8"/>
    <w:rsid w:val="003E2B47"/>
    <w:rsid w:val="003E5EF9"/>
    <w:rsid w:val="00414272"/>
    <w:rsid w:val="004151F3"/>
    <w:rsid w:val="00432696"/>
    <w:rsid w:val="0044247E"/>
    <w:rsid w:val="00444D69"/>
    <w:rsid w:val="00486F2F"/>
    <w:rsid w:val="004A0382"/>
    <w:rsid w:val="004A093A"/>
    <w:rsid w:val="004B6791"/>
    <w:rsid w:val="005223A9"/>
    <w:rsid w:val="005309BE"/>
    <w:rsid w:val="00570857"/>
    <w:rsid w:val="005A7EB9"/>
    <w:rsid w:val="005B73A2"/>
    <w:rsid w:val="005D3E3B"/>
    <w:rsid w:val="005E2D01"/>
    <w:rsid w:val="005F3604"/>
    <w:rsid w:val="00621EC1"/>
    <w:rsid w:val="006721AD"/>
    <w:rsid w:val="00673829"/>
    <w:rsid w:val="006A0F68"/>
    <w:rsid w:val="006D2FBA"/>
    <w:rsid w:val="006E09B7"/>
    <w:rsid w:val="00712D2B"/>
    <w:rsid w:val="00713BBD"/>
    <w:rsid w:val="007400D9"/>
    <w:rsid w:val="00744783"/>
    <w:rsid w:val="00774998"/>
    <w:rsid w:val="00776D1D"/>
    <w:rsid w:val="007A49B2"/>
    <w:rsid w:val="007C0AA7"/>
    <w:rsid w:val="007D04FF"/>
    <w:rsid w:val="007E7B50"/>
    <w:rsid w:val="0080003D"/>
    <w:rsid w:val="00811871"/>
    <w:rsid w:val="008344B5"/>
    <w:rsid w:val="008419D2"/>
    <w:rsid w:val="00870F19"/>
    <w:rsid w:val="008B0307"/>
    <w:rsid w:val="008B1284"/>
    <w:rsid w:val="008E3B8A"/>
    <w:rsid w:val="0094443A"/>
    <w:rsid w:val="009534F5"/>
    <w:rsid w:val="00975102"/>
    <w:rsid w:val="0098234C"/>
    <w:rsid w:val="00984F2E"/>
    <w:rsid w:val="00991016"/>
    <w:rsid w:val="009A3C55"/>
    <w:rsid w:val="009F374C"/>
    <w:rsid w:val="00A1595E"/>
    <w:rsid w:val="00A22BB7"/>
    <w:rsid w:val="00A4453E"/>
    <w:rsid w:val="00A4656E"/>
    <w:rsid w:val="00A57B7E"/>
    <w:rsid w:val="00A6362B"/>
    <w:rsid w:val="00A67B1E"/>
    <w:rsid w:val="00A95265"/>
    <w:rsid w:val="00A97473"/>
    <w:rsid w:val="00AA4D6A"/>
    <w:rsid w:val="00AC3922"/>
    <w:rsid w:val="00B101E4"/>
    <w:rsid w:val="00B161FD"/>
    <w:rsid w:val="00B16933"/>
    <w:rsid w:val="00B173AA"/>
    <w:rsid w:val="00B75522"/>
    <w:rsid w:val="00C12A0E"/>
    <w:rsid w:val="00C20A7F"/>
    <w:rsid w:val="00C21ADF"/>
    <w:rsid w:val="00C40D72"/>
    <w:rsid w:val="00C46618"/>
    <w:rsid w:val="00C47BFF"/>
    <w:rsid w:val="00C56EA2"/>
    <w:rsid w:val="00C779EB"/>
    <w:rsid w:val="00CF1C01"/>
    <w:rsid w:val="00D0444C"/>
    <w:rsid w:val="00D21F5D"/>
    <w:rsid w:val="00D76738"/>
    <w:rsid w:val="00D97D14"/>
    <w:rsid w:val="00DA7064"/>
    <w:rsid w:val="00DD3C09"/>
    <w:rsid w:val="00DE685F"/>
    <w:rsid w:val="00E630BE"/>
    <w:rsid w:val="00E639C7"/>
    <w:rsid w:val="00E72C7E"/>
    <w:rsid w:val="00EB5158"/>
    <w:rsid w:val="00EE13EE"/>
    <w:rsid w:val="00F1419E"/>
    <w:rsid w:val="00F1785E"/>
    <w:rsid w:val="00F260C3"/>
    <w:rsid w:val="00F57391"/>
    <w:rsid w:val="00F75F53"/>
    <w:rsid w:val="00F841C3"/>
    <w:rsid w:val="00F872C9"/>
    <w:rsid w:val="00FA3B17"/>
    <w:rsid w:val="01BF7824"/>
    <w:rsid w:val="03EF65C2"/>
    <w:rsid w:val="03FA3A00"/>
    <w:rsid w:val="056106F1"/>
    <w:rsid w:val="07735188"/>
    <w:rsid w:val="07C56964"/>
    <w:rsid w:val="08BA17EB"/>
    <w:rsid w:val="09177CD5"/>
    <w:rsid w:val="098A06BB"/>
    <w:rsid w:val="0C587A0C"/>
    <w:rsid w:val="0C9943C2"/>
    <w:rsid w:val="0DDE4FD5"/>
    <w:rsid w:val="10C57D69"/>
    <w:rsid w:val="135E4A53"/>
    <w:rsid w:val="172A44D8"/>
    <w:rsid w:val="1A236B3E"/>
    <w:rsid w:val="1B590390"/>
    <w:rsid w:val="1CD9E0E7"/>
    <w:rsid w:val="1DCF66E8"/>
    <w:rsid w:val="1F615D6F"/>
    <w:rsid w:val="21082528"/>
    <w:rsid w:val="242B3572"/>
    <w:rsid w:val="24710F1F"/>
    <w:rsid w:val="267C3307"/>
    <w:rsid w:val="273B4DEE"/>
    <w:rsid w:val="27B8643F"/>
    <w:rsid w:val="2A392C03"/>
    <w:rsid w:val="2B637B25"/>
    <w:rsid w:val="2BA271EA"/>
    <w:rsid w:val="2C6E34DB"/>
    <w:rsid w:val="2FD33646"/>
    <w:rsid w:val="30643F13"/>
    <w:rsid w:val="317A4225"/>
    <w:rsid w:val="31AB45C5"/>
    <w:rsid w:val="31DD1186"/>
    <w:rsid w:val="3364747B"/>
    <w:rsid w:val="342A7CD6"/>
    <w:rsid w:val="34A8714F"/>
    <w:rsid w:val="363C07BF"/>
    <w:rsid w:val="37305BC2"/>
    <w:rsid w:val="375B5AF3"/>
    <w:rsid w:val="37B35334"/>
    <w:rsid w:val="391B0641"/>
    <w:rsid w:val="397B2DFA"/>
    <w:rsid w:val="39FD978A"/>
    <w:rsid w:val="3A6A40CB"/>
    <w:rsid w:val="3B4F00D7"/>
    <w:rsid w:val="3C92402E"/>
    <w:rsid w:val="3D0107FD"/>
    <w:rsid w:val="3D653C0E"/>
    <w:rsid w:val="3D9F7A2D"/>
    <w:rsid w:val="3DEF3099"/>
    <w:rsid w:val="3F0E4021"/>
    <w:rsid w:val="3F2A435C"/>
    <w:rsid w:val="3FB90C6E"/>
    <w:rsid w:val="40A679F5"/>
    <w:rsid w:val="421E3AAB"/>
    <w:rsid w:val="43814D04"/>
    <w:rsid w:val="43904487"/>
    <w:rsid w:val="46186609"/>
    <w:rsid w:val="47FE6FC6"/>
    <w:rsid w:val="49BD3708"/>
    <w:rsid w:val="527252FA"/>
    <w:rsid w:val="52986FE3"/>
    <w:rsid w:val="54066771"/>
    <w:rsid w:val="542B4562"/>
    <w:rsid w:val="57EA1DE0"/>
    <w:rsid w:val="5A6C7F49"/>
    <w:rsid w:val="5AB3646E"/>
    <w:rsid w:val="5AEE795F"/>
    <w:rsid w:val="5B510387"/>
    <w:rsid w:val="5C956E6E"/>
    <w:rsid w:val="5D571AB4"/>
    <w:rsid w:val="5DF835D6"/>
    <w:rsid w:val="5FEDDA39"/>
    <w:rsid w:val="605F0725"/>
    <w:rsid w:val="63547977"/>
    <w:rsid w:val="63B703B1"/>
    <w:rsid w:val="644A43EE"/>
    <w:rsid w:val="68AB1671"/>
    <w:rsid w:val="6B4E5CA5"/>
    <w:rsid w:val="6B9549CB"/>
    <w:rsid w:val="6BF8460E"/>
    <w:rsid w:val="6CDA3EE1"/>
    <w:rsid w:val="6D4C45C2"/>
    <w:rsid w:val="6E6E5654"/>
    <w:rsid w:val="6E8F1C57"/>
    <w:rsid w:val="6EC119FE"/>
    <w:rsid w:val="6F4F5B18"/>
    <w:rsid w:val="6F8D3F04"/>
    <w:rsid w:val="702154A8"/>
    <w:rsid w:val="71516BCD"/>
    <w:rsid w:val="72766526"/>
    <w:rsid w:val="72CE7304"/>
    <w:rsid w:val="74ED1BEB"/>
    <w:rsid w:val="75A35605"/>
    <w:rsid w:val="778D6868"/>
    <w:rsid w:val="779224FB"/>
    <w:rsid w:val="785F31F4"/>
    <w:rsid w:val="78695C0F"/>
    <w:rsid w:val="79753115"/>
    <w:rsid w:val="79B1339E"/>
    <w:rsid w:val="79C27853"/>
    <w:rsid w:val="7BB73B7A"/>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8">
    <w:name w:val="Default Paragraph Font"/>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annotation text"/>
    <w:basedOn w:val="1"/>
    <w:link w:val="14"/>
    <w:unhideWhenUsed/>
    <w:qFormat/>
    <w:uiPriority w:val="99"/>
  </w:style>
  <w:style w:type="paragraph" w:styleId="4">
    <w:name w:val="footer"/>
    <w:basedOn w:val="1"/>
    <w:qFormat/>
    <w:uiPriority w:val="99"/>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6">
    <w:name w:val="annotation subject"/>
    <w:basedOn w:val="3"/>
    <w:next w:val="3"/>
    <w:link w:val="15"/>
    <w:qFormat/>
    <w:uiPriority w:val="0"/>
    <w:rPr>
      <w:b/>
      <w:bCs/>
    </w:rPr>
  </w:style>
  <w:style w:type="character" w:styleId="9">
    <w:name w:val="annotation reference"/>
    <w:basedOn w:val="8"/>
    <w:qFormat/>
    <w:uiPriority w:val="0"/>
    <w:rPr>
      <w:sz w:val="21"/>
      <w:szCs w:val="21"/>
    </w:rPr>
  </w:style>
  <w:style w:type="paragraph" w:customStyle="1" w:styleId="10">
    <w:name w:val="Picture caption|1"/>
    <w:basedOn w:val="1"/>
    <w:qFormat/>
    <w:uiPriority w:val="0"/>
    <w:pPr>
      <w:spacing w:line="527" w:lineRule="exact"/>
      <w:ind w:firstLine="180"/>
    </w:pPr>
    <w:rPr>
      <w:rFonts w:ascii="宋体" w:hAnsi="宋体" w:eastAsia="宋体" w:cs="宋体"/>
      <w:color w:val="40403F"/>
      <w:sz w:val="26"/>
      <w:szCs w:val="26"/>
      <w:lang w:val="zh-TW" w:eastAsia="zh-TW" w:bidi="zh-TW"/>
    </w:rPr>
  </w:style>
  <w:style w:type="paragraph" w:customStyle="1" w:styleId="11">
    <w:name w:val="Body text|1"/>
    <w:basedOn w:val="1"/>
    <w:qFormat/>
    <w:uiPriority w:val="0"/>
    <w:pPr>
      <w:spacing w:line="422" w:lineRule="auto"/>
      <w:ind w:firstLine="400"/>
    </w:pPr>
    <w:rPr>
      <w:rFonts w:ascii="宋体" w:hAnsi="宋体" w:eastAsia="宋体" w:cs="宋体"/>
      <w:color w:val="40403F"/>
      <w:sz w:val="26"/>
      <w:szCs w:val="26"/>
      <w:lang w:val="zh-TW" w:eastAsia="zh-TW" w:bidi="zh-TW"/>
    </w:rPr>
  </w:style>
  <w:style w:type="paragraph" w:customStyle="1" w:styleId="12">
    <w:name w:val="Header or footer|2"/>
    <w:basedOn w:val="1"/>
    <w:qFormat/>
    <w:uiPriority w:val="0"/>
    <w:rPr>
      <w:sz w:val="20"/>
      <w:szCs w:val="20"/>
      <w:lang w:val="zh-TW" w:eastAsia="zh-TW" w:bidi="zh-TW"/>
    </w:rPr>
  </w:style>
  <w:style w:type="paragraph" w:customStyle="1" w:styleId="13">
    <w:name w:val="_Style 1"/>
    <w:basedOn w:val="1"/>
    <w:qFormat/>
    <w:uiPriority w:val="0"/>
    <w:pPr>
      <w:ind w:firstLine="420" w:firstLineChars="200"/>
    </w:pPr>
    <w:rPr>
      <w:rFonts w:ascii="Calibri" w:hAnsi="Calibri" w:eastAsia="宋体"/>
    </w:rPr>
  </w:style>
  <w:style w:type="character" w:customStyle="1" w:styleId="14">
    <w:name w:val="批注文字 字符"/>
    <w:basedOn w:val="8"/>
    <w:link w:val="3"/>
    <w:qFormat/>
    <w:uiPriority w:val="99"/>
    <w:rPr>
      <w:rFonts w:ascii="Times New Roman" w:hAnsi="Times New Roman" w:eastAsia="Times New Roman" w:cs="Times New Roman"/>
      <w:color w:val="000000"/>
      <w:sz w:val="24"/>
      <w:szCs w:val="24"/>
      <w:lang w:eastAsia="en-US" w:bidi="en-US"/>
    </w:rPr>
  </w:style>
  <w:style w:type="character" w:customStyle="1" w:styleId="15">
    <w:name w:val="批注主题 字符"/>
    <w:basedOn w:val="14"/>
    <w:link w:val="6"/>
    <w:qFormat/>
    <w:uiPriority w:val="0"/>
    <w:rPr>
      <w:rFonts w:ascii="Times New Roman" w:hAnsi="Times New Roman" w:eastAsia="Times New Roman" w:cs="Times New Roman"/>
      <w:b/>
      <w:bCs/>
      <w:color w:val="000000"/>
      <w:sz w:val="24"/>
      <w:szCs w:val="24"/>
      <w:lang w:eastAsia="en-US" w:bidi="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2987</Words>
  <Characters>3053</Characters>
  <Lines>30</Lines>
  <Paragraphs>8</Paragraphs>
  <TotalTime>40</TotalTime>
  <ScaleCrop>false</ScaleCrop>
  <LinksUpToDate>false</LinksUpToDate>
  <CharactersWithSpaces>3182</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2023-02-09T07:42:00Z</dcterms:created>
  <dc:creator>Administrator</dc:creator>
  <cp:lastModifiedBy>翟小悦</cp:lastModifiedBy>
  <cp:lastPrinted>2025-02-28T18:59:00Z</cp:lastPrinted>
  <dcterms:modified xsi:type="dcterms:W3CDTF">2026-10-12T09:17:30Z</dcterms:modified>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E06B4BF52EDD4DA08994746A63DB4C9A_13</vt:lpwstr>
  </property>
  <property fmtid="{D5CDD505-2E9C-101B-9397-08002B2CF9AE}" pid="4" name="KSOTemplateDocerSaveRecord">
    <vt:lpwstr>eyJoZGlkIjoiYzJhNzY0NmM1NWQwNGNiMzY4MzEyNzljMTc5Y2M5OWQiLCJ1c2VySWQiOiIxMTQ2ODI2NzgyIn0=</vt:lpwstr>
  </property>
</Properties>
</file>