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658CA8">
      <w:pPr>
        <w:keepNext w:val="0"/>
        <w:keepLines w:val="0"/>
        <w:widowControl/>
        <w:suppressLineNumbers w:val="0"/>
        <w:ind w:firstLine="0" w:firstLineChars="0"/>
        <w:jc w:val="left"/>
        <w:rPr>
          <w:rFonts w:hint="eastAsia" w:ascii="宋体" w:hAnsi="宋体" w:eastAsia="宋体" w:cs="宋体"/>
          <w:color w:val="auto"/>
          <w:sz w:val="24"/>
          <w:szCs w:val="24"/>
          <w:highlight w:val="none"/>
          <w:u w:val="single"/>
        </w:rPr>
      </w:pPr>
      <w:r>
        <w:rPr>
          <w:rFonts w:ascii="仿宋_GB2312" w:hAnsi="仿宋_GB2312" w:eastAsia="仿宋_GB2312" w:cs="仿宋_GB2312"/>
          <w:color w:val="auto"/>
          <w:kern w:val="0"/>
          <w:sz w:val="28"/>
          <w:szCs w:val="28"/>
          <w:highlight w:val="none"/>
          <w:lang w:val="en-US" w:eastAsia="zh-CN" w:bidi="ar"/>
        </w:rPr>
        <w:t>合同编号</w:t>
      </w:r>
      <w:r>
        <w:rPr>
          <w:rFonts w:ascii="仿宋_GB2312" w:hAnsi="仿宋_GB2312" w:eastAsia="仿宋_GB2312" w:cs="仿宋_GB2312"/>
          <w:color w:val="auto"/>
          <w:kern w:val="0"/>
          <w:sz w:val="18"/>
          <w:szCs w:val="18"/>
          <w:highlight w:val="none"/>
          <w:lang w:val="en-US" w:eastAsia="zh-CN" w:bidi="ar"/>
        </w:rPr>
        <w:t>：</w:t>
      </w:r>
      <w:r>
        <w:rPr>
          <w:rFonts w:hint="eastAsia" w:ascii="宋体" w:hAnsi="宋体" w:eastAsia="宋体" w:cs="宋体"/>
          <w:color w:val="auto"/>
          <w:sz w:val="24"/>
          <w:szCs w:val="24"/>
          <w:highlight w:val="none"/>
          <w:u w:val="single"/>
        </w:rPr>
        <w:t xml:space="preserve">                   </w:t>
      </w:r>
    </w:p>
    <w:p w14:paraId="4F53790C">
      <w:pPr>
        <w:pStyle w:val="3"/>
        <w:rPr>
          <w:color w:val="auto"/>
          <w:highlight w:val="none"/>
          <w:lang w:val="en-US" w:eastAsia="zh-CN"/>
        </w:rPr>
      </w:pPr>
    </w:p>
    <w:p w14:paraId="7E70ACB6">
      <w:pPr>
        <w:keepNext w:val="0"/>
        <w:keepLines w:val="0"/>
        <w:widowControl/>
        <w:suppressLineNumbers w:val="0"/>
        <w:jc w:val="center"/>
        <w:rPr>
          <w:rFonts w:hint="eastAsia" w:ascii="黑体" w:hAnsi="黑体" w:eastAsia="黑体" w:cs="黑体"/>
          <w:color w:val="auto"/>
          <w:sz w:val="44"/>
          <w:szCs w:val="44"/>
          <w:highlight w:val="none"/>
        </w:rPr>
      </w:pPr>
      <w:r>
        <w:rPr>
          <w:rFonts w:hint="eastAsia" w:ascii="黑体" w:hAnsi="黑体" w:eastAsia="黑体" w:cs="黑体"/>
          <w:color w:val="auto"/>
          <w:kern w:val="2"/>
          <w:sz w:val="44"/>
          <w:szCs w:val="44"/>
          <w:highlight w:val="none"/>
          <w:lang w:val="en-US" w:eastAsia="zh-CN" w:bidi="ar"/>
        </w:rPr>
        <w:t>海南省农村集体经营性资产（厂房、房屋、铺面）</w:t>
      </w:r>
      <w:r>
        <w:rPr>
          <w:rFonts w:hint="eastAsia" w:ascii="黑体" w:hAnsi="黑体" w:eastAsia="黑体" w:cs="黑体"/>
          <w:b w:val="0"/>
          <w:bCs w:val="0"/>
          <w:color w:val="auto"/>
          <w:sz w:val="44"/>
          <w:szCs w:val="44"/>
          <w:highlight w:val="none"/>
        </w:rPr>
        <w:t>租赁</w:t>
      </w:r>
      <w:r>
        <w:rPr>
          <w:rFonts w:hint="eastAsia" w:ascii="黑体" w:hAnsi="黑体" w:eastAsia="黑体" w:cs="黑体"/>
          <w:color w:val="auto"/>
          <w:kern w:val="2"/>
          <w:sz w:val="44"/>
          <w:szCs w:val="44"/>
          <w:highlight w:val="none"/>
          <w:lang w:val="en-US" w:eastAsia="zh-CN" w:bidi="ar"/>
        </w:rPr>
        <w:t>合同</w:t>
      </w:r>
    </w:p>
    <w:p w14:paraId="60BB63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8"/>
          <w:szCs w:val="28"/>
          <w:highlight w:val="none"/>
        </w:rPr>
      </w:pPr>
    </w:p>
    <w:p w14:paraId="3D923A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u w:val="single"/>
        </w:rPr>
      </w:pPr>
      <w:r>
        <w:rPr>
          <w:rFonts w:hint="eastAsia" w:ascii="宋体" w:hAnsi="宋体" w:eastAsia="宋体" w:cs="宋体"/>
          <w:b/>
          <w:color w:val="auto"/>
          <w:sz w:val="28"/>
          <w:szCs w:val="28"/>
          <w:highlight w:val="none"/>
        </w:rPr>
        <w:t>出租人</w:t>
      </w:r>
      <w:r>
        <w:rPr>
          <w:rFonts w:hint="eastAsia" w:ascii="宋体" w:hAnsi="宋体" w:eastAsia="宋体" w:cs="宋体"/>
          <w:b/>
          <w:bCs/>
          <w:color w:val="auto"/>
          <w:sz w:val="28"/>
          <w:szCs w:val="28"/>
          <w:highlight w:val="none"/>
        </w:rPr>
        <w:t>（甲方）：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临高县波莲镇美珠村民委员会 </w:t>
      </w:r>
      <w:r>
        <w:rPr>
          <w:rFonts w:hint="eastAsia" w:ascii="宋体" w:hAnsi="宋体" w:eastAsia="宋体" w:cs="宋体"/>
          <w:color w:val="auto"/>
          <w:sz w:val="28"/>
          <w:szCs w:val="28"/>
          <w:highlight w:val="none"/>
          <w:u w:val="single"/>
        </w:rPr>
        <w:t xml:space="preserve"> </w:t>
      </w:r>
    </w:p>
    <w:p w14:paraId="672610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u w:val="single"/>
        </w:rPr>
      </w:pPr>
      <w:r>
        <w:rPr>
          <w:rFonts w:hint="eastAsia" w:ascii="宋体" w:hAnsi="宋体" w:eastAsia="宋体" w:cs="宋体"/>
          <w:b/>
          <w:color w:val="auto"/>
          <w:sz w:val="28"/>
          <w:szCs w:val="28"/>
          <w:highlight w:val="none"/>
        </w:rPr>
        <w:t>承租人</w:t>
      </w:r>
      <w:r>
        <w:rPr>
          <w:rFonts w:hint="eastAsia" w:ascii="宋体" w:hAnsi="宋体" w:eastAsia="宋体" w:cs="宋体"/>
          <w:b/>
          <w:bCs/>
          <w:color w:val="auto"/>
          <w:sz w:val="28"/>
          <w:szCs w:val="28"/>
          <w:highlight w:val="none"/>
        </w:rPr>
        <w:t>（乙方）：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王阶</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121844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根据《中华人民共和国民法典</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临高</w:t>
      </w:r>
      <w:r>
        <w:rPr>
          <w:rFonts w:hint="eastAsia" w:ascii="宋体" w:hAnsi="宋体" w:cs="宋体"/>
          <w:color w:val="auto"/>
          <w:sz w:val="24"/>
          <w:szCs w:val="24"/>
          <w:highlight w:val="none"/>
          <w:u w:val="none"/>
          <w:lang w:eastAsia="zh-CN"/>
        </w:rPr>
        <w:t>农村产权交易中心</w:t>
      </w:r>
      <w:r>
        <w:rPr>
          <w:rFonts w:hint="eastAsia" w:ascii="宋体" w:hAnsi="宋体" w:eastAsia="宋体" w:cs="宋体"/>
          <w:color w:val="auto"/>
          <w:sz w:val="24"/>
          <w:szCs w:val="24"/>
          <w:highlight w:val="none"/>
          <w:u w:val="none"/>
          <w:lang w:eastAsia="zh-CN"/>
        </w:rPr>
        <w:t>农村产权交易规则</w:t>
      </w:r>
      <w:r>
        <w:rPr>
          <w:rFonts w:hint="eastAsia" w:ascii="宋体" w:hAnsi="宋体" w:eastAsia="宋体" w:cs="宋体"/>
          <w:color w:val="auto"/>
          <w:sz w:val="24"/>
          <w:szCs w:val="24"/>
          <w:highlight w:val="none"/>
          <w:u w:val="none"/>
        </w:rPr>
        <w:t>（试行）</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rPr>
        <w:t>等有关法律、法规，甲、乙双方遵循自愿、平等、公平、诚实信用的原则，经协商一致，达成如下条款：</w:t>
      </w:r>
    </w:p>
    <w:p w14:paraId="193072F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第一条  标的物情况</w:t>
      </w:r>
    </w:p>
    <w:p w14:paraId="3823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1.甲方将</w:t>
      </w:r>
      <w:r>
        <w:rPr>
          <w:rFonts w:hint="eastAsia" w:ascii="宋体" w:hAnsi="宋体" w:eastAsia="宋体" w:cs="宋体"/>
          <w:color w:val="auto"/>
          <w:sz w:val="24"/>
          <w:szCs w:val="24"/>
          <w:highlight w:val="none"/>
          <w:lang w:eastAsia="zh-CN"/>
        </w:rPr>
        <w:t>坐落于</w:t>
      </w:r>
      <w:r>
        <w:rPr>
          <w:rFonts w:hint="eastAsia" w:ascii="宋体" w:hAnsi="宋体" w:cs="宋体"/>
          <w:color w:val="auto"/>
          <w:sz w:val="24"/>
          <w:szCs w:val="24"/>
          <w:highlight w:val="none"/>
          <w:u w:val="single"/>
          <w:lang w:val="en-US" w:eastAsia="zh-CN"/>
        </w:rPr>
        <w:t xml:space="preserve"> 临高 </w:t>
      </w:r>
      <w:r>
        <w:rPr>
          <w:rFonts w:hint="eastAsia" w:ascii="宋体" w:hAnsi="宋体" w:cs="宋体"/>
          <w:color w:val="auto"/>
          <w:sz w:val="24"/>
          <w:szCs w:val="24"/>
          <w:highlight w:val="none"/>
          <w:lang w:val="en-US" w:eastAsia="zh-CN"/>
        </w:rPr>
        <w:t>县</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波莲</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镇</w:t>
      </w:r>
      <w:bookmarkStart w:id="0" w:name="_GoBack"/>
      <w:r>
        <w:rPr>
          <w:rFonts w:hint="eastAsia" w:ascii="宋体" w:hAnsi="宋体" w:eastAsia="宋体" w:cs="宋体"/>
          <w:color w:val="auto"/>
          <w:sz w:val="24"/>
          <w:szCs w:val="24"/>
          <w:highlight w:val="none"/>
          <w:u w:val="single"/>
          <w:lang w:val="en-US" w:eastAsia="zh-CN"/>
        </w:rPr>
        <w:t>美珠村民委员会一楼96.72㎡</w:t>
      </w:r>
      <w:r>
        <w:rPr>
          <w:rFonts w:hint="eastAsia" w:ascii="宋体" w:hAnsi="宋体" w:cs="宋体"/>
          <w:color w:val="auto"/>
          <w:sz w:val="24"/>
          <w:szCs w:val="24"/>
          <w:highlight w:val="none"/>
          <w:u w:val="single"/>
          <w:lang w:val="en-US" w:eastAsia="zh-CN"/>
        </w:rPr>
        <w:t>房屋</w:t>
      </w:r>
      <w:bookmarkEnd w:id="0"/>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（房屋/厂房/门面/其他，以下简称标的）使用权出租给乙方。甲方系流转标的的产权人，拥有合法对外出租该标的的权利。</w:t>
      </w:r>
    </w:p>
    <w:p w14:paraId="446482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该出租标的实际使用面积</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96.72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平方米</w:t>
      </w:r>
      <w:r>
        <w:rPr>
          <w:rFonts w:hint="eastAsia" w:ascii="宋体" w:hAnsi="宋体" w:eastAsia="宋体" w:cs="宋体"/>
          <w:color w:val="auto"/>
          <w:sz w:val="24"/>
          <w:szCs w:val="24"/>
          <w:highlight w:val="none"/>
          <w:u w:val="none"/>
        </w:rPr>
        <w:t xml:space="preserve">，建筑面积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96.72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平方米；四至为：东至：</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谢秀妹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、南至：</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道路</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、西至：</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美珠村委会</w:t>
      </w:r>
      <w:r>
        <w:rPr>
          <w:rFonts w:hint="eastAsia" w:ascii="宋体" w:hAnsi="宋体" w:eastAsia="宋体" w:cs="宋体"/>
          <w:color w:val="auto"/>
          <w:sz w:val="24"/>
          <w:szCs w:val="24"/>
          <w:highlight w:val="none"/>
          <w:u w:val="single"/>
          <w:lang w:val="en-US" w:eastAsia="zh-CN"/>
        </w:rPr>
        <w:t>广场空地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、北至：</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美珠村委会文化室</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；房屋类型</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平房</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（平房/多层/高层），设计用途</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，房屋所有权证号为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无</w:t>
      </w:r>
      <w:r>
        <w:rPr>
          <w:rFonts w:hint="eastAsia" w:ascii="宋体" w:hAnsi="宋体" w:eastAsia="宋体" w:cs="宋体"/>
          <w:color w:val="auto"/>
          <w:sz w:val="24"/>
          <w:szCs w:val="24"/>
          <w:highlight w:val="none"/>
          <w:u w:val="single"/>
        </w:rPr>
        <w:t xml:space="preserve">   （如无，需提供相应权属证明）</w:t>
      </w:r>
      <w:r>
        <w:rPr>
          <w:rFonts w:hint="eastAsia" w:ascii="宋体" w:hAnsi="宋体" w:eastAsia="宋体" w:cs="宋体"/>
          <w:color w:val="auto"/>
          <w:sz w:val="24"/>
          <w:szCs w:val="24"/>
          <w:highlight w:val="none"/>
        </w:rPr>
        <w:t>。该房屋</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已/未（设定抵押）。</w:t>
      </w:r>
    </w:p>
    <w:p w14:paraId="64A421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标的交付时装修、家具、设备等情况：</w:t>
      </w:r>
      <w:r>
        <w:rPr>
          <w:rFonts w:hint="eastAsia" w:ascii="宋体" w:hAnsi="宋体" w:eastAsia="宋体" w:cs="宋体"/>
          <w:color w:val="auto"/>
          <w:sz w:val="24"/>
          <w:szCs w:val="24"/>
          <w:highlight w:val="none"/>
          <w:u w:val="single"/>
        </w:rPr>
        <w:t xml:space="preserve"> 无家具家电、水电设施等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none"/>
          <w:lang w:eastAsia="zh-CN"/>
        </w:rPr>
        <w:t>。</w:t>
      </w:r>
    </w:p>
    <w:p w14:paraId="387B0104">
      <w:pPr>
        <w:spacing w:line="360" w:lineRule="auto"/>
        <w:ind w:firstLine="480" w:firstLineChars="200"/>
        <w:rPr>
          <w:rFonts w:hint="eastAsia" w:ascii="宋体" w:hAnsi="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3.标的资产经有资质的</w:t>
      </w:r>
      <w:r>
        <w:rPr>
          <w:rFonts w:hint="eastAsia" w:ascii="宋体" w:hAnsi="宋体" w:cs="宋体"/>
          <w:color w:val="auto"/>
          <w:sz w:val="24"/>
          <w:szCs w:val="24"/>
          <w:highlight w:val="none"/>
          <w:u w:val="single"/>
          <w:lang w:val="en-US" w:eastAsia="zh-CN"/>
        </w:rPr>
        <w:t xml:space="preserve">         /             </w:t>
      </w:r>
      <w:r>
        <w:rPr>
          <w:rFonts w:hint="eastAsia" w:ascii="宋体" w:hAnsi="宋体" w:cs="宋体"/>
          <w:color w:val="auto"/>
          <w:sz w:val="24"/>
          <w:szCs w:val="24"/>
          <w:highlight w:val="none"/>
          <w:u w:val="none"/>
          <w:lang w:val="en-US" w:eastAsia="zh-CN"/>
        </w:rPr>
        <w:t>资产评估（或房地产评估）有限公司评估，出具了以</w:t>
      </w:r>
      <w:r>
        <w:rPr>
          <w:rFonts w:hint="eastAsia" w:ascii="宋体" w:hAnsi="宋体" w:cs="宋体"/>
          <w:color w:val="auto"/>
          <w:sz w:val="24"/>
          <w:szCs w:val="24"/>
          <w:highlight w:val="none"/>
          <w:u w:val="single"/>
          <w:lang w:val="en-US" w:eastAsia="zh-CN"/>
        </w:rPr>
        <w:t xml:space="preserve">   /   </w:t>
      </w:r>
      <w:r>
        <w:rPr>
          <w:rFonts w:hint="eastAsia" w:ascii="宋体" w:hAnsi="宋体" w:cs="宋体"/>
          <w:color w:val="auto"/>
          <w:sz w:val="24"/>
          <w:szCs w:val="24"/>
          <w:highlight w:val="none"/>
          <w:u w:val="none"/>
          <w:lang w:val="en-US" w:eastAsia="zh-CN"/>
        </w:rPr>
        <w:t>年</w:t>
      </w:r>
      <w:r>
        <w:rPr>
          <w:rFonts w:hint="eastAsia" w:ascii="宋体" w:hAnsi="宋体" w:cs="宋体"/>
          <w:color w:val="auto"/>
          <w:sz w:val="24"/>
          <w:szCs w:val="24"/>
          <w:highlight w:val="none"/>
          <w:u w:val="single"/>
          <w:lang w:val="en-US" w:eastAsia="zh-CN"/>
        </w:rPr>
        <w:t xml:space="preserve"> /   </w:t>
      </w:r>
      <w:r>
        <w:rPr>
          <w:rFonts w:hint="eastAsia" w:ascii="宋体" w:hAnsi="宋体" w:cs="宋体"/>
          <w:color w:val="auto"/>
          <w:sz w:val="24"/>
          <w:szCs w:val="24"/>
          <w:highlight w:val="none"/>
          <w:u w:val="none"/>
          <w:lang w:val="en-US" w:eastAsia="zh-CN"/>
        </w:rPr>
        <w:t>月</w:t>
      </w:r>
      <w:r>
        <w:rPr>
          <w:rFonts w:hint="eastAsia" w:ascii="宋体" w:hAnsi="宋体" w:cs="宋体"/>
          <w:color w:val="auto"/>
          <w:sz w:val="24"/>
          <w:szCs w:val="24"/>
          <w:highlight w:val="none"/>
          <w:u w:val="single"/>
          <w:lang w:val="en-US" w:eastAsia="zh-CN"/>
        </w:rPr>
        <w:t xml:space="preserve">  /  </w:t>
      </w:r>
      <w:r>
        <w:rPr>
          <w:rFonts w:hint="eastAsia" w:ascii="宋体" w:hAnsi="宋体" w:cs="宋体"/>
          <w:color w:val="auto"/>
          <w:sz w:val="24"/>
          <w:szCs w:val="24"/>
          <w:highlight w:val="none"/>
          <w:u w:val="none"/>
          <w:lang w:val="en-US" w:eastAsia="zh-CN"/>
        </w:rPr>
        <w:t>日为评估基准日的</w:t>
      </w:r>
      <w:r>
        <w:rPr>
          <w:rFonts w:hint="eastAsia" w:ascii="宋体" w:hAnsi="宋体" w:cs="宋体"/>
          <w:color w:val="auto"/>
          <w:sz w:val="24"/>
          <w:szCs w:val="24"/>
          <w:highlight w:val="none"/>
          <w:u w:val="single"/>
          <w:lang w:val="en-US" w:eastAsia="zh-CN"/>
        </w:rPr>
        <w:t xml:space="preserve">  /  </w:t>
      </w:r>
      <w:r>
        <w:rPr>
          <w:rFonts w:hint="eastAsia" w:ascii="宋体" w:hAnsi="宋体" w:cs="宋体"/>
          <w:color w:val="auto"/>
          <w:sz w:val="24"/>
          <w:szCs w:val="24"/>
          <w:highlight w:val="none"/>
          <w:u w:val="none"/>
          <w:lang w:val="en-US" w:eastAsia="zh-CN"/>
        </w:rPr>
        <w:t>《资产（或房地产）评估报告》。</w:t>
      </w:r>
    </w:p>
    <w:p w14:paraId="0A7B898B">
      <w:pPr>
        <w:spacing w:line="360" w:lineRule="auto"/>
        <w:ind w:firstLine="480" w:firstLineChars="200"/>
        <w:rPr>
          <w:rFonts w:hint="eastAsia" w:ascii="宋体" w:hAnsi="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4、标的资产不存在上述《资产（或房地产）评估报告》中未予披露或遗漏的、可能影响评估结果，或对标的资产</w:t>
      </w:r>
      <w:r>
        <w:rPr>
          <w:rFonts w:hint="eastAsia" w:ascii="宋体" w:hAnsi="宋体" w:eastAsia="宋体" w:cs="宋体"/>
          <w:color w:val="auto"/>
          <w:sz w:val="24"/>
          <w:szCs w:val="24"/>
          <w:highlight w:val="none"/>
        </w:rPr>
        <w:t>出租</w:t>
      </w:r>
      <w:r>
        <w:rPr>
          <w:rFonts w:hint="eastAsia" w:ascii="宋体" w:hAnsi="宋体" w:cs="宋体"/>
          <w:color w:val="auto"/>
          <w:sz w:val="24"/>
          <w:szCs w:val="24"/>
          <w:highlight w:val="none"/>
          <w:u w:val="none"/>
          <w:lang w:val="en-US" w:eastAsia="zh-CN"/>
        </w:rPr>
        <w:t>产生重大不利影响的任何事项。</w:t>
      </w:r>
    </w:p>
    <w:p w14:paraId="1BEC3355">
      <w:pPr>
        <w:spacing w:line="360" w:lineRule="auto"/>
        <w:ind w:firstLine="480" w:firstLineChars="200"/>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5、甲乙双方在甲方对上述标的资产享有所有权及《资产（或房地产）评估报告》评估结果均认可同意的基础上达成本合同各项条款。</w:t>
      </w:r>
    </w:p>
    <w:p w14:paraId="5DDD0A66">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cs="宋体"/>
          <w:color w:val="auto"/>
          <w:sz w:val="24"/>
          <w:szCs w:val="24"/>
          <w:highlight w:val="none"/>
          <w:u w:val="none"/>
          <w:lang w:val="en-US" w:eastAsia="zh-CN"/>
        </w:rPr>
        <w:t>6</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none"/>
        </w:rPr>
        <w:t>甲方保证其</w:t>
      </w:r>
      <w:r>
        <w:rPr>
          <w:rFonts w:hint="eastAsia" w:ascii="宋体" w:hAnsi="宋体" w:eastAsia="宋体" w:cs="宋体"/>
          <w:color w:val="auto"/>
          <w:sz w:val="24"/>
          <w:szCs w:val="24"/>
          <w:highlight w:val="none"/>
        </w:rPr>
        <w:t>出租</w:t>
      </w:r>
      <w:r>
        <w:rPr>
          <w:rFonts w:hint="eastAsia" w:ascii="宋体" w:hAnsi="宋体" w:eastAsia="宋体" w:cs="宋体"/>
          <w:color w:val="auto"/>
          <w:sz w:val="24"/>
          <w:szCs w:val="24"/>
          <w:highlight w:val="none"/>
          <w:u w:val="none"/>
        </w:rPr>
        <w:t>的标的拥有合法建</w:t>
      </w:r>
      <w:r>
        <w:rPr>
          <w:rFonts w:hint="eastAsia" w:ascii="宋体" w:hAnsi="宋体" w:eastAsia="宋体" w:cs="宋体"/>
          <w:color w:val="auto"/>
          <w:sz w:val="24"/>
          <w:szCs w:val="24"/>
          <w:highlight w:val="none"/>
          <w:u w:val="none"/>
          <w:lang w:val="en-US" w:eastAsia="zh-CN"/>
        </w:rPr>
        <w:t>设</w:t>
      </w:r>
      <w:r>
        <w:rPr>
          <w:rFonts w:hint="eastAsia" w:ascii="宋体" w:hAnsi="宋体" w:eastAsia="宋体" w:cs="宋体"/>
          <w:color w:val="auto"/>
          <w:sz w:val="24"/>
          <w:szCs w:val="24"/>
          <w:highlight w:val="none"/>
          <w:u w:val="none"/>
        </w:rPr>
        <w:t>手续并拥有合法产权。</w:t>
      </w:r>
    </w:p>
    <w:p w14:paraId="6F69B09C">
      <w:pPr>
        <w:spacing w:line="360" w:lineRule="auto"/>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7.标的附属建筑和资产情况及处置方式（可另附件）：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归甲方</w:t>
      </w:r>
      <w:r>
        <w:rPr>
          <w:rFonts w:hint="eastAsia" w:ascii="宋体" w:hAnsi="宋体" w:eastAsia="宋体" w:cs="宋体"/>
          <w:color w:val="auto"/>
          <w:sz w:val="24"/>
          <w:szCs w:val="24"/>
          <w:highlight w:val="none"/>
          <w:u w:val="single"/>
          <w:lang w:val="en-US" w:eastAsia="zh-CN"/>
        </w:rPr>
        <w:t xml:space="preserve">  。</w:t>
      </w:r>
    </w:p>
    <w:p w14:paraId="75936579">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8.标的的担保情况为（ </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 xml:space="preserve"> ）种：</w:t>
      </w:r>
    </w:p>
    <w:p w14:paraId="7520E726">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①标的上未设定任何形式的担保，包括但不限于该标的资产存在抵押或任何影响标的资产出让的限制或义务。标的也未被任何有权机构采取查封等强制性措施。</w:t>
      </w:r>
    </w:p>
    <w:p w14:paraId="7A1D51DE">
      <w:pPr>
        <w:spacing w:line="360" w:lineRule="auto"/>
        <w:ind w:firstLine="480" w:firstLineChars="200"/>
        <w:rPr>
          <w:rFonts w:hint="eastAsia" w:eastAsia="宋体"/>
          <w:color w:val="auto"/>
          <w:highlight w:val="none"/>
          <w:lang w:val="en-US" w:eastAsia="zh-CN"/>
        </w:rPr>
      </w:pPr>
      <w:r>
        <w:rPr>
          <w:rFonts w:hint="eastAsia" w:ascii="宋体" w:hAnsi="宋体" w:eastAsia="宋体" w:cs="宋体"/>
          <w:color w:val="auto"/>
          <w:sz w:val="24"/>
          <w:highlight w:val="none"/>
          <w:lang w:val="en-US" w:eastAsia="zh-CN"/>
        </w:rPr>
        <w:t>②标的已于</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年</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月</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日，因</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抵押给</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并在相关部门办理抵押登记。上述流转行为已经获得抵押权人的书面同意。</w:t>
      </w:r>
    </w:p>
    <w:p w14:paraId="440AE184">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第二条  </w:t>
      </w:r>
      <w:r>
        <w:rPr>
          <w:rFonts w:hint="eastAsia" w:ascii="宋体" w:hAnsi="宋体" w:eastAsia="宋体" w:cs="宋体"/>
          <w:b/>
          <w:bCs/>
          <w:color w:val="auto"/>
          <w:sz w:val="24"/>
          <w:szCs w:val="24"/>
          <w:highlight w:val="none"/>
        </w:rPr>
        <w:t>租赁</w:t>
      </w:r>
      <w:r>
        <w:rPr>
          <w:rFonts w:hint="eastAsia" w:ascii="宋体" w:hAnsi="宋体" w:eastAsia="宋体" w:cs="宋体"/>
          <w:b/>
          <w:bCs/>
          <w:color w:val="auto"/>
          <w:sz w:val="24"/>
          <w:highlight w:val="none"/>
          <w:lang w:val="en-US" w:eastAsia="zh-CN"/>
        </w:rPr>
        <w:t>方式、</w:t>
      </w:r>
      <w:r>
        <w:rPr>
          <w:rFonts w:hint="eastAsia" w:ascii="宋体" w:hAnsi="宋体" w:eastAsia="宋体" w:cs="宋体"/>
          <w:b/>
          <w:bCs/>
          <w:color w:val="auto"/>
          <w:sz w:val="24"/>
          <w:szCs w:val="24"/>
          <w:highlight w:val="none"/>
        </w:rPr>
        <w:t>用途</w:t>
      </w:r>
    </w:p>
    <w:p w14:paraId="2DE1A7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1.乙方所承租标的仅用于</w:t>
      </w:r>
      <w:r>
        <w:rPr>
          <w:rFonts w:hint="eastAsia" w:ascii="宋体" w:hAnsi="宋体" w:eastAsia="宋体" w:cs="宋体"/>
          <w:color w:val="auto"/>
          <w:sz w:val="24"/>
          <w:szCs w:val="24"/>
          <w:highlight w:val="none"/>
          <w:u w:val="single"/>
        </w:rPr>
        <w:t xml:space="preserve">     服务业     </w:t>
      </w:r>
      <w:r>
        <w:rPr>
          <w:rFonts w:hint="eastAsia" w:ascii="宋体" w:hAnsi="宋体" w:eastAsia="宋体" w:cs="宋体"/>
          <w:color w:val="auto"/>
          <w:sz w:val="24"/>
          <w:szCs w:val="24"/>
          <w:highlight w:val="none"/>
          <w:lang w:val="en-US" w:eastAsia="zh-CN"/>
        </w:rPr>
        <w:t>使用</w:t>
      </w:r>
      <w:r>
        <w:rPr>
          <w:rFonts w:hint="eastAsia" w:ascii="宋体" w:hAnsi="宋体" w:eastAsia="宋体" w:cs="宋体"/>
          <w:color w:val="auto"/>
          <w:sz w:val="24"/>
          <w:szCs w:val="24"/>
          <w:highlight w:val="none"/>
        </w:rPr>
        <w:t>。</w:t>
      </w:r>
    </w:p>
    <w:p w14:paraId="1E6364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2.乙方应按照约定的用途使用标的，不得利用</w:t>
      </w:r>
      <w:r>
        <w:rPr>
          <w:rFonts w:hint="eastAsia" w:ascii="宋体" w:hAnsi="宋体" w:cs="宋体"/>
          <w:color w:val="auto"/>
          <w:sz w:val="24"/>
          <w:szCs w:val="24"/>
          <w:highlight w:val="none"/>
          <w:lang w:val="en-US" w:eastAsia="zh-CN"/>
        </w:rPr>
        <w:t>流转</w:t>
      </w:r>
      <w:r>
        <w:rPr>
          <w:rFonts w:hint="eastAsia" w:ascii="宋体" w:hAnsi="宋体" w:eastAsia="宋体" w:cs="宋体"/>
          <w:color w:val="auto"/>
          <w:sz w:val="24"/>
          <w:szCs w:val="24"/>
          <w:highlight w:val="none"/>
        </w:rPr>
        <w:t xml:space="preserve">标的进行违法活动。乙方在承租期间的日常管理均由乙方自行负责。乙方需改变标的用途的，应征得甲方书面同意。未经甲方书面同意，乙方擅自改变标的用途，甲方可以要求乙方赔偿损失。 </w:t>
      </w:r>
    </w:p>
    <w:p w14:paraId="35ED18B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第三条  租赁期限和交付日期</w:t>
      </w:r>
    </w:p>
    <w:p w14:paraId="1D1064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highlight w:val="yellow"/>
        </w:rPr>
      </w:pPr>
      <w:r>
        <w:rPr>
          <w:rFonts w:hint="eastAsia" w:ascii="宋体" w:hAnsi="宋体" w:eastAsia="宋体" w:cs="宋体"/>
          <w:color w:val="auto"/>
          <w:sz w:val="24"/>
          <w:szCs w:val="24"/>
          <w:highlight w:val="none"/>
        </w:rPr>
        <w:t>1.标的租赁期限自</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日起至</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2046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日止，共</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20</w:t>
      </w:r>
      <w:r>
        <w:rPr>
          <w:rFonts w:hint="eastAsia" w:ascii="宋体" w:hAnsi="宋体" w:eastAsia="宋体" w:cs="宋体"/>
          <w:color w:val="auto"/>
          <w:sz w:val="24"/>
          <w:szCs w:val="24"/>
          <w:highlight w:val="none"/>
        </w:rPr>
        <w:t>年。</w:t>
      </w:r>
    </w:p>
    <w:p w14:paraId="008052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2.甲方于</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2026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甲方以出租标的现状交付乙方。</w:t>
      </w:r>
    </w:p>
    <w:p w14:paraId="199CC5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3.租赁期届满时，甲方有权收回标的，乙方应按期返还。乙方需继续承租该标的时，应提前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个月与甲方协商。甲方要求返还标的，乙方应当返还。如逾期返还的，自租赁期届满之次日起至实际返还标的之日止，乙方除支付租金外，还应按每日</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none"/>
          <w:lang w:val="en-US" w:eastAsia="zh-CN"/>
        </w:rPr>
        <w:t>元</w:t>
      </w:r>
      <w:r>
        <w:rPr>
          <w:rFonts w:hint="eastAsia" w:ascii="宋体" w:hAnsi="宋体" w:eastAsia="宋体" w:cs="宋体"/>
          <w:color w:val="auto"/>
          <w:sz w:val="24"/>
          <w:szCs w:val="24"/>
          <w:highlight w:val="none"/>
        </w:rPr>
        <w:t>向甲方支付违约金。</w:t>
      </w:r>
    </w:p>
    <w:p w14:paraId="6413B83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第四条  租金、</w:t>
      </w:r>
      <w:r>
        <w:rPr>
          <w:rFonts w:hint="eastAsia" w:ascii="宋体" w:hAnsi="宋体" w:eastAsia="宋体" w:cs="宋体"/>
          <w:b/>
          <w:bCs/>
          <w:color w:val="auto"/>
          <w:sz w:val="24"/>
          <w:szCs w:val="24"/>
          <w:highlight w:val="none"/>
          <w:lang w:val="en-US" w:eastAsia="zh-CN"/>
        </w:rPr>
        <w:t>履约保证金、交易服务费、其他费用</w:t>
      </w:r>
    </w:p>
    <w:p w14:paraId="716B1C1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1.租金标准：</w:t>
      </w:r>
      <w:r>
        <w:rPr>
          <w:rFonts w:hint="eastAsia" w:ascii="宋体" w:hAnsi="宋体" w:eastAsia="宋体" w:cs="宋体"/>
          <w:color w:val="auto"/>
          <w:sz w:val="24"/>
          <w:szCs w:val="24"/>
          <w:highlight w:val="none"/>
          <w:lang w:val="en-US" w:eastAsia="zh-CN"/>
        </w:rPr>
        <w:t>本合同标的</w:t>
      </w:r>
      <w:r>
        <w:rPr>
          <w:rFonts w:hint="eastAsia" w:ascii="宋体" w:hAnsi="宋体" w:eastAsia="宋体" w:cs="宋体"/>
          <w:color w:val="auto"/>
          <w:sz w:val="24"/>
          <w:szCs w:val="24"/>
          <w:highlight w:val="none"/>
        </w:rPr>
        <w:t>按</w:t>
      </w:r>
      <w:r>
        <w:rPr>
          <w:rFonts w:hint="eastAsia" w:ascii="宋体" w:hAnsi="宋体" w:cs="宋体"/>
          <w:color w:val="auto"/>
          <w:sz w:val="24"/>
          <w:szCs w:val="24"/>
          <w:highlight w:val="none"/>
          <w:lang w:val="en-US" w:eastAsia="zh-CN"/>
        </w:rPr>
        <w:t>年</w:t>
      </w:r>
      <w:r>
        <w:rPr>
          <w:rFonts w:hint="eastAsia" w:ascii="宋体" w:hAnsi="宋体" w:eastAsia="宋体" w:cs="宋体"/>
          <w:color w:val="auto"/>
          <w:sz w:val="24"/>
          <w:szCs w:val="24"/>
          <w:highlight w:val="none"/>
        </w:rPr>
        <w:t>计算租金，</w:t>
      </w:r>
      <w:r>
        <w:rPr>
          <w:rFonts w:hint="eastAsia" w:ascii="宋体" w:hAnsi="宋体" w:cs="宋体"/>
          <w:color w:val="auto"/>
          <w:sz w:val="24"/>
          <w:szCs w:val="24"/>
          <w:highlight w:val="none"/>
          <w:lang w:val="en-US" w:eastAsia="zh-CN"/>
        </w:rPr>
        <w:t>一年一付，租金每五年递增5%，</w:t>
      </w:r>
      <w:r>
        <w:rPr>
          <w:rFonts w:hint="eastAsia" w:ascii="宋体" w:hAnsi="宋体" w:eastAsia="宋体" w:cs="宋体"/>
          <w:color w:val="auto"/>
          <w:sz w:val="24"/>
          <w:szCs w:val="24"/>
          <w:highlight w:val="none"/>
        </w:rPr>
        <w:t>每</w:t>
      </w:r>
      <w:r>
        <w:rPr>
          <w:rFonts w:hint="eastAsia" w:ascii="宋体" w:hAnsi="宋体" w:cs="宋体"/>
          <w:color w:val="auto"/>
          <w:sz w:val="24"/>
          <w:szCs w:val="24"/>
          <w:highlight w:val="none"/>
          <w:lang w:val="en-US" w:eastAsia="zh-CN"/>
        </w:rPr>
        <w:t>年租金</w:t>
      </w:r>
      <w:r>
        <w:rPr>
          <w:rFonts w:hint="eastAsia" w:ascii="宋体" w:hAnsi="宋体" w:eastAsia="宋体" w:cs="宋体"/>
          <w:color w:val="auto"/>
          <w:sz w:val="24"/>
          <w:szCs w:val="24"/>
          <w:highlight w:val="none"/>
        </w:rPr>
        <w:t>为</w:t>
      </w:r>
      <w:r>
        <w:rPr>
          <w:rFonts w:hint="eastAsia" w:ascii="Arial" w:hAnsi="Arial" w:eastAsia="宋体" w:cs="Arial"/>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8520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捌仟伍佰贰拾元</w:t>
      </w:r>
      <w:r>
        <w:rPr>
          <w:rFonts w:hint="eastAsia" w:ascii="宋体" w:hAnsi="宋体" w:eastAsia="宋体" w:cs="宋体"/>
          <w:color w:val="auto"/>
          <w:sz w:val="24"/>
          <w:szCs w:val="24"/>
          <w:highlight w:val="none"/>
          <w:u w:val="none"/>
          <w:lang w:val="en-US" w:eastAsia="zh-CN"/>
        </w:rPr>
        <w:t>整</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w:t>
      </w:r>
    </w:p>
    <w:p w14:paraId="52C59D49">
      <w:pPr>
        <w:keepNext w:val="0"/>
        <w:keepLines w:val="0"/>
        <w:pageBreakBefore w:val="0"/>
        <w:widowControl w:val="0"/>
        <w:kinsoku/>
        <w:wordWrap/>
        <w:overflowPunct/>
        <w:topLinePunct w:val="0"/>
        <w:autoSpaceDE/>
        <w:autoSpaceDN/>
        <w:bidi w:val="0"/>
        <w:adjustRightInd/>
        <w:snapToGrid/>
        <w:spacing w:line="360" w:lineRule="auto"/>
        <w:ind w:left="158" w:leftChars="75" w:firstLine="240" w:firstLineChars="1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2.乙方按</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rPr>
        <w:t>支付租金，</w:t>
      </w:r>
      <w:r>
        <w:rPr>
          <w:rFonts w:hint="eastAsia" w:ascii="宋体" w:hAnsi="宋体" w:cs="宋体"/>
          <w:color w:val="auto"/>
          <w:sz w:val="24"/>
          <w:szCs w:val="24"/>
          <w:highlight w:val="none"/>
          <w:lang w:val="en-US" w:eastAsia="zh-CN"/>
        </w:rPr>
        <w:t>首次</w:t>
      </w:r>
      <w:r>
        <w:rPr>
          <w:rFonts w:hint="eastAsia" w:ascii="宋体" w:hAnsi="宋体" w:eastAsia="宋体" w:cs="宋体"/>
          <w:color w:val="auto"/>
          <w:sz w:val="24"/>
          <w:szCs w:val="24"/>
          <w:highlight w:val="none"/>
        </w:rPr>
        <w:t>付款</w:t>
      </w:r>
      <w:r>
        <w:rPr>
          <w:rFonts w:hint="eastAsia" w:ascii="宋体" w:hAnsi="宋体" w:cs="宋体"/>
          <w:color w:val="auto"/>
          <w:sz w:val="24"/>
          <w:szCs w:val="24"/>
          <w:highlight w:val="none"/>
          <w:lang w:val="en-US" w:eastAsia="zh-CN"/>
        </w:rPr>
        <w:t>时</w:t>
      </w:r>
      <w:r>
        <w:rPr>
          <w:rFonts w:hint="eastAsia" w:ascii="宋体" w:hAnsi="宋体" w:eastAsia="宋体" w:cs="宋体"/>
          <w:color w:val="auto"/>
          <w:sz w:val="24"/>
          <w:szCs w:val="24"/>
          <w:highlight w:val="none"/>
        </w:rPr>
        <w:t>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2026年5月10日前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次年起每年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10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日前支付</w:t>
      </w:r>
      <w:r>
        <w:rPr>
          <w:rFonts w:hint="eastAsia" w:ascii="宋体" w:hAnsi="宋体" w:eastAsia="宋体" w:cs="宋体"/>
          <w:color w:val="auto"/>
          <w:sz w:val="24"/>
          <w:szCs w:val="24"/>
          <w:highlight w:val="none"/>
          <w:lang w:val="en-US" w:eastAsia="zh-CN"/>
        </w:rPr>
        <w:t>下一年租金</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 xml:space="preserve">         </w:t>
      </w:r>
    </w:p>
    <w:p w14:paraId="336149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租金变动约定：</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每五年递增5%</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B7AE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 xml:space="preserve">根据《临高农村产权交易中心收费管理办法（试行）》办法，本标的流转交易服务费具体数额以临高农村产权交易中心提供的交易结算通知书面通知为准另行支付。  </w:t>
      </w:r>
    </w:p>
    <w:p w14:paraId="30DC2A7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.税费</w:t>
      </w:r>
      <w:r>
        <w:rPr>
          <w:rFonts w:hint="eastAsia" w:ascii="宋体" w:hAnsi="宋体" w:eastAsia="宋体" w:cs="宋体"/>
          <w:color w:val="auto"/>
          <w:sz w:val="24"/>
          <w:szCs w:val="24"/>
          <w:highlight w:val="none"/>
          <w:lang w:val="en-US" w:eastAsia="zh-CN"/>
        </w:rPr>
        <w:t>和管理费</w:t>
      </w:r>
      <w:r>
        <w:rPr>
          <w:rFonts w:hint="eastAsia" w:ascii="宋体" w:hAnsi="宋体" w:eastAsia="宋体" w:cs="宋体"/>
          <w:color w:val="auto"/>
          <w:sz w:val="24"/>
          <w:szCs w:val="24"/>
          <w:highlight w:val="none"/>
        </w:rPr>
        <w:t>的约定</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w:t>
      </w:r>
    </w:p>
    <w:p w14:paraId="71CE4D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租赁期间，因使用该标的所发生的费用（水、电、煤气、通讯、物业管理、有线电视、供热费等）及其他有关费用均由</w:t>
      </w:r>
      <w:r>
        <w:rPr>
          <w:rFonts w:hint="eastAsia" w:ascii="宋体" w:hAnsi="宋体" w:eastAsia="宋体" w:cs="宋体"/>
          <w:color w:val="auto"/>
          <w:sz w:val="24"/>
          <w:szCs w:val="24"/>
          <w:highlight w:val="none"/>
          <w:u w:val="single"/>
        </w:rPr>
        <w:t>乙方</w:t>
      </w:r>
      <w:r>
        <w:rPr>
          <w:rFonts w:hint="eastAsia" w:ascii="宋体" w:hAnsi="宋体" w:eastAsia="宋体" w:cs="宋体"/>
          <w:color w:val="auto"/>
          <w:sz w:val="24"/>
          <w:szCs w:val="24"/>
          <w:highlight w:val="none"/>
        </w:rPr>
        <w:t>承担。</w:t>
      </w:r>
    </w:p>
    <w:p w14:paraId="351AE6B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第五条  支付方式</w:t>
      </w:r>
    </w:p>
    <w:p w14:paraId="48E1D00F">
      <w:pPr>
        <w:pStyle w:val="3"/>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sz w:val="24"/>
          <w:szCs w:val="24"/>
          <w:highlight w:val="none"/>
          <w:lang w:val="en-US" w:eastAsia="zh-CN"/>
        </w:rPr>
        <w:t>双方当事人选择第</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种付款方式。</w:t>
      </w:r>
    </w:p>
    <w:p w14:paraId="436C26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（1）现金</w:t>
      </w:r>
    </w:p>
    <w:p w14:paraId="3EC916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（2）银行汇款 </w:t>
      </w:r>
    </w:p>
    <w:p w14:paraId="0CF3D5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开户</w:t>
      </w:r>
      <w:r>
        <w:rPr>
          <w:rFonts w:hint="eastAsia" w:ascii="宋体" w:hAnsi="宋体" w:cs="宋体"/>
          <w:color w:val="auto"/>
          <w:sz w:val="24"/>
          <w:szCs w:val="24"/>
          <w:highlight w:val="none"/>
          <w:lang w:val="en-US" w:eastAsia="zh-CN"/>
        </w:rPr>
        <w:t>名</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临高县波莲镇美珠村民委员会</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27D773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开户</w:t>
      </w:r>
      <w:r>
        <w:rPr>
          <w:rFonts w:hint="eastAsia" w:ascii="宋体" w:hAnsi="宋体" w:cs="宋体"/>
          <w:color w:val="auto"/>
          <w:sz w:val="24"/>
          <w:szCs w:val="24"/>
          <w:highlight w:val="none"/>
          <w:lang w:val="en-US" w:eastAsia="zh-CN"/>
        </w:rPr>
        <w:t>行</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海南农村商业银行临高波莲支行</w:t>
      </w:r>
      <w:r>
        <w:rPr>
          <w:rFonts w:hint="eastAsia" w:ascii="宋体" w:hAnsi="宋体" w:eastAsia="宋体" w:cs="宋体"/>
          <w:color w:val="auto"/>
          <w:sz w:val="24"/>
          <w:szCs w:val="24"/>
          <w:highlight w:val="none"/>
          <w:u w:val="single"/>
          <w:lang w:val="en-US" w:eastAsia="zh-CN"/>
        </w:rPr>
        <w:t xml:space="preserve">    </w:t>
      </w:r>
    </w:p>
    <w:p w14:paraId="7BACAC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none"/>
        </w:rPr>
        <w:t>银行账号</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210814001003500000244</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4C30F6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u w:val="none"/>
          <w:lang w:val="en-US" w:eastAsia="zh-CN"/>
        </w:rPr>
        <w:t>（3）</w:t>
      </w:r>
      <w:r>
        <w:rPr>
          <w:rFonts w:hint="eastAsia" w:ascii="宋体" w:hAnsi="宋体" w:eastAsia="宋体" w:cs="宋体"/>
          <w:color w:val="auto"/>
          <w:sz w:val="24"/>
          <w:szCs w:val="24"/>
          <w:highlight w:val="none"/>
          <w:u w:val="none"/>
          <w:lang w:val="en-US" w:eastAsia="zh-CN"/>
        </w:rPr>
        <w:t>其他：</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342EE6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第六条  标的</w:t>
      </w:r>
      <w:r>
        <w:rPr>
          <w:rFonts w:hint="eastAsia" w:ascii="宋体" w:hAnsi="宋体" w:eastAsia="宋体" w:cs="宋体"/>
          <w:b/>
          <w:bCs/>
          <w:color w:val="auto"/>
          <w:sz w:val="24"/>
          <w:szCs w:val="24"/>
          <w:highlight w:val="none"/>
          <w:lang w:val="en-US" w:eastAsia="zh-CN"/>
        </w:rPr>
        <w:t>交付、</w:t>
      </w:r>
      <w:r>
        <w:rPr>
          <w:rFonts w:hint="eastAsia" w:ascii="宋体" w:hAnsi="宋体" w:eastAsia="宋体" w:cs="宋体"/>
          <w:b/>
          <w:bCs/>
          <w:color w:val="auto"/>
          <w:sz w:val="24"/>
          <w:szCs w:val="24"/>
          <w:highlight w:val="none"/>
        </w:rPr>
        <w:t>使用和维修</w:t>
      </w:r>
    </w:p>
    <w:p w14:paraId="5DCEC6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应当在</w:t>
      </w:r>
      <w:r>
        <w:rPr>
          <w:rFonts w:hint="eastAsia" w:ascii="宋体" w:hAnsi="宋体" w:cs="宋体"/>
          <w:color w:val="auto"/>
          <w:sz w:val="24"/>
          <w:szCs w:val="24"/>
          <w:highlight w:val="none"/>
          <w:lang w:val="en-US" w:eastAsia="zh-CN"/>
        </w:rPr>
        <w:t>临高农村产权交易中心</w:t>
      </w:r>
      <w:r>
        <w:rPr>
          <w:rFonts w:hint="eastAsia" w:ascii="宋体" w:hAnsi="宋体" w:eastAsia="宋体" w:cs="宋体"/>
          <w:color w:val="auto"/>
          <w:sz w:val="24"/>
          <w:szCs w:val="24"/>
          <w:highlight w:val="none"/>
        </w:rPr>
        <w:t>告知确认收到</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交来款项后方可交付标的</w:t>
      </w:r>
      <w:r>
        <w:rPr>
          <w:rFonts w:hint="eastAsia" w:ascii="宋体" w:hAnsi="宋体" w:eastAsia="宋体" w:cs="宋体"/>
          <w:color w:val="auto"/>
          <w:sz w:val="24"/>
          <w:szCs w:val="24"/>
          <w:highlight w:val="none"/>
          <w:lang w:eastAsia="zh-CN"/>
        </w:rPr>
        <w:t>。</w:t>
      </w:r>
    </w:p>
    <w:p w14:paraId="06CD5B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在租赁期内，乙方应合理使用承租的标的及其附属设备并维护其安全。</w:t>
      </w:r>
    </w:p>
    <w:p w14:paraId="64383D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租赁期间，乙方如需改动标的的，应预先征得甲方书面同意，并按规定报经住建管理部门批准。未经甲方书面同意，乙方拆改标的的，甲方可以解除合同，并要求乙方赔偿损失。乙方装修标的、增加设备的，应预先征得甲方书面同意，并商定增加的装修、设备的归属及维修责任。未经甲方书面同意，乙方装修标的、增加设备，或因使用不当使标的和设备损坏的，甲方可以要求乙方给予修复，并赔偿损失。</w:t>
      </w:r>
    </w:p>
    <w:p w14:paraId="18C5A2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.标的及原有附属设备因乙方正常使用，发生损坏的，双方按下列第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种方式承担维修责任。</w:t>
      </w:r>
    </w:p>
    <w:p w14:paraId="6A5E0A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1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甲方负责出租标的及原有附属设备的维修，承担维修费用；乙方发现标的及原有附属设备有损坏或故障时，应及时通知甲方修复；甲方应在接到乙方通知后</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日内进行维修，乙方应予以协助。逾期不维修的，乙方可代为维修，甲方承担维修费用及逾期维修造成的损失。</w:t>
      </w:r>
    </w:p>
    <w:p w14:paraId="5D29EB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乙方负责承租标的及原有附属设备的维修，并承担维修费用，甲方应予以协助。</w:t>
      </w:r>
    </w:p>
    <w:p w14:paraId="53E5946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第七条  标的转租及出售</w:t>
      </w:r>
    </w:p>
    <w:p w14:paraId="2B1BAD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1.经甲方书面同意，乙方可以将承租的标的转租给第三人使用。转租期限不得超过本合同期限。未经甲方同意，乙方擅自转租的，甲方可以解除合同，并要求乙方赔偿损失。</w:t>
      </w:r>
    </w:p>
    <w:p w14:paraId="39B11D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2.甲方在租赁期限内出售租赁标的时，应提前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个月通知乙方，同时，甲方需保证买受人继续享有、承担甲方在本合同中的全部权利义务。同等条件下，乙方拥有优先购买权。</w:t>
      </w:r>
    </w:p>
    <w:p w14:paraId="440E8D9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第八条  违约责任</w:t>
      </w:r>
    </w:p>
    <w:p w14:paraId="4F61BC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1.租赁期间，非本合同约定的情况，任何一方擅自解除本合同的，违约方向守约方支付违约金</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元。若约定的违约金不足抵付守约方损失的，违约方还应负责赔偿超过违约金部分的损失。</w:t>
      </w:r>
    </w:p>
    <w:p w14:paraId="3BFC6D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．乙方逾期支付租金，甲方有权按下述第</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种约定追究乙方违约责任：</w:t>
      </w:r>
    </w:p>
    <w:p w14:paraId="44ABFB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1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合同继续履行。乙方除应支付拖欠租金外，还应自应交租金之次日起至实际交付拖欠租金之日止，按每日</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元向甲方支付违约金。</w:t>
      </w:r>
    </w:p>
    <w:p w14:paraId="38747B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解除合同。乙方拖欠租金累计达</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个月及其以上的，经甲方书面催交租金后乙方仍拒不支付租金的，甲方可以解除合同。乙方除应支付累计拖欠租金外，还应自解除合同之次日起至实际交付拖欠租金之日止，按每日</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元向甲方支付违约金。</w:t>
      </w:r>
    </w:p>
    <w:p w14:paraId="0F5F2A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3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③</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其他约定：</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E9CC9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3.甲方逾期交付标的，乙方有权按下述第</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种约定追究甲方违约责任：</w:t>
      </w:r>
    </w:p>
    <w:p w14:paraId="02BFE1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1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合同继续履行。甲方自应交付标的之次日起至实际交付之日止，按每日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元向乙方支付违约金。</w:t>
      </w:r>
    </w:p>
    <w:p w14:paraId="0C14D9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解除合同。超过应交付日期</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个月的，乙方可以解除合同，要求甲方一次性支付</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元违约金</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元。若约定的违约金不足抵付乙方损失的，甲方还应负责赔偿超过违约金部分的损失。</w:t>
      </w:r>
    </w:p>
    <w:p w14:paraId="518D5A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3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③</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其他约定：</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CCB05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4.租赁期间，因甲方原因导致乙方无法继续使用标的的，乙方有权要求甲方消除妨害，以便乙方能够继续使用标的；</w:t>
      </w:r>
      <w:r>
        <w:rPr>
          <w:rFonts w:hint="eastAsia" w:ascii="宋体" w:hAnsi="宋体" w:eastAsia="宋体" w:cs="宋体"/>
          <w:color w:val="auto"/>
          <w:sz w:val="24"/>
          <w:szCs w:val="24"/>
          <w:highlight w:val="none"/>
          <w:lang w:val="en-US" w:eastAsia="zh-CN"/>
        </w:rPr>
        <w:t>若仍不能提供给乙方使用，</w:t>
      </w: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有权</w:t>
      </w:r>
      <w:r>
        <w:rPr>
          <w:rFonts w:hint="eastAsia" w:ascii="宋体" w:hAnsi="宋体" w:eastAsia="宋体" w:cs="宋体"/>
          <w:color w:val="auto"/>
          <w:sz w:val="24"/>
          <w:szCs w:val="24"/>
          <w:highlight w:val="none"/>
        </w:rPr>
        <w:t>单方</w:t>
      </w:r>
      <w:r>
        <w:rPr>
          <w:rFonts w:hint="eastAsia" w:ascii="宋体" w:hAnsi="宋体" w:eastAsia="宋体" w:cs="宋体"/>
          <w:color w:val="auto"/>
          <w:sz w:val="24"/>
          <w:szCs w:val="24"/>
          <w:highlight w:val="none"/>
          <w:lang w:val="en-US" w:eastAsia="zh-CN"/>
        </w:rPr>
        <w:t>解除本</w:t>
      </w:r>
      <w:r>
        <w:rPr>
          <w:rFonts w:hint="eastAsia" w:ascii="宋体" w:hAnsi="宋体" w:eastAsia="宋体" w:cs="宋体"/>
          <w:color w:val="auto"/>
          <w:sz w:val="24"/>
          <w:szCs w:val="24"/>
          <w:highlight w:val="none"/>
        </w:rPr>
        <w:t>合同并要求甲方</w:t>
      </w:r>
      <w:r>
        <w:rPr>
          <w:rFonts w:hint="eastAsia" w:ascii="宋体" w:hAnsi="宋体" w:eastAsia="宋体" w:cs="宋体"/>
          <w:color w:val="auto"/>
          <w:sz w:val="24"/>
          <w:szCs w:val="24"/>
          <w:highlight w:val="none"/>
          <w:lang w:eastAsia="zh-CN"/>
        </w:rPr>
        <w:t>支付</w:t>
      </w:r>
      <w:r>
        <w:rPr>
          <w:rFonts w:hint="eastAsia" w:ascii="宋体" w:hAnsi="宋体" w:eastAsia="宋体" w:cs="宋体"/>
          <w:color w:val="auto"/>
          <w:sz w:val="24"/>
          <w:szCs w:val="24"/>
          <w:highlight w:val="none"/>
        </w:rPr>
        <w:t xml:space="preserve">违约金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元。违约金不足以弥补乙方损失的，甲方应当补偿不足部分。</w:t>
      </w:r>
    </w:p>
    <w:p w14:paraId="24AC0B20">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u w:val="none"/>
        </w:rPr>
        <w:t>如因甲方出租标的不合法或因出租标的产权及权利限制等原因导致乙方无法正常使用标的的，乙方有权解除本合同并要求甲方支付违约金</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val="en-US" w:eastAsia="zh-CN"/>
        </w:rPr>
        <w:t>元</w:t>
      </w:r>
      <w:r>
        <w:rPr>
          <w:rFonts w:hint="eastAsia" w:ascii="宋体" w:hAnsi="宋体" w:eastAsia="宋体" w:cs="宋体"/>
          <w:color w:val="auto"/>
          <w:sz w:val="24"/>
          <w:szCs w:val="24"/>
          <w:highlight w:val="none"/>
        </w:rPr>
        <w:t>。</w:t>
      </w:r>
    </w:p>
    <w:p w14:paraId="76BCA85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第九条</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纠纷解决</w:t>
      </w:r>
    </w:p>
    <w:p w14:paraId="3C76D6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甲乙双方发生纠纷，可以协商解决，也可以请求</w:t>
      </w:r>
      <w:r>
        <w:rPr>
          <w:rFonts w:hint="eastAsia" w:ascii="宋体" w:hAnsi="宋体" w:eastAsia="宋体" w:cs="宋体"/>
          <w:color w:val="auto"/>
          <w:sz w:val="24"/>
          <w:szCs w:val="24"/>
          <w:highlight w:val="none"/>
          <w:lang w:val="en-US" w:eastAsia="zh-CN"/>
        </w:rPr>
        <w:t>市</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区/县/镇</w:t>
      </w:r>
      <w:r>
        <w:rPr>
          <w:rFonts w:hint="eastAsia" w:ascii="宋体" w:hAnsi="宋体" w:eastAsia="宋体" w:cs="宋体"/>
          <w:color w:val="auto"/>
          <w:sz w:val="24"/>
          <w:szCs w:val="24"/>
          <w:highlight w:val="none"/>
        </w:rPr>
        <w:t>）人民政府等调解。当事人不愿协商、调解或者协商、调解不成的，可以向南宁仲裁委员会申请仲裁。</w:t>
      </w:r>
    </w:p>
    <w:p w14:paraId="05E28A6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第十条</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其他条款</w:t>
      </w:r>
    </w:p>
    <w:p w14:paraId="59BF8C4F">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1.租赁期间，甲方抵押该租赁标的，须书面通知乙方。</w:t>
      </w:r>
    </w:p>
    <w:p w14:paraId="55C05545">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2.租赁期间，如遇政府拆迁或市政设施建设施工，使乙方无法继续经营的，本合同自行终止（甲方自收到政府通知后</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15</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日内通知乙方），如市</w:t>
      </w:r>
      <w:r>
        <w:rPr>
          <w:rFonts w:hint="eastAsia" w:ascii="宋体" w:hAnsi="宋体" w:eastAsia="宋体" w:cs="宋体"/>
          <w:color w:val="auto"/>
          <w:sz w:val="24"/>
          <w:szCs w:val="24"/>
          <w:highlight w:val="none"/>
          <w:lang w:eastAsia="zh-CN"/>
        </w:rPr>
        <w:t>政府</w:t>
      </w:r>
      <w:r>
        <w:rPr>
          <w:rFonts w:hint="eastAsia" w:ascii="宋体" w:hAnsi="宋体" w:eastAsia="宋体" w:cs="宋体"/>
          <w:color w:val="auto"/>
          <w:sz w:val="24"/>
          <w:szCs w:val="24"/>
          <w:highlight w:val="none"/>
        </w:rPr>
        <w:t>或政府部门给予经济补偿的，涉及土地和房屋的部分归属甲方，与乙方无关；涉及乙方自行装修且经甲方同意的房屋装修部分归属乙方，与甲方无关，甲方不再作任何经济补偿。</w:t>
      </w:r>
    </w:p>
    <w:p w14:paraId="2114AB67">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本合同自甲</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乙双方签字盖章之日起生效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本合同未尽事宜，甲乙双方</w:t>
      </w:r>
      <w:r>
        <w:rPr>
          <w:rFonts w:hint="eastAsia" w:ascii="宋体" w:hAnsi="宋体" w:eastAsia="宋体" w:cs="宋体"/>
          <w:color w:val="auto"/>
          <w:sz w:val="24"/>
          <w:szCs w:val="24"/>
          <w:highlight w:val="none"/>
          <w:lang w:val="en-US" w:eastAsia="zh-CN"/>
        </w:rPr>
        <w:t>可</w:t>
      </w:r>
      <w:r>
        <w:rPr>
          <w:rFonts w:hint="eastAsia" w:ascii="宋体" w:hAnsi="宋体" w:eastAsia="宋体" w:cs="宋体"/>
          <w:color w:val="auto"/>
          <w:sz w:val="24"/>
          <w:szCs w:val="24"/>
          <w:highlight w:val="none"/>
        </w:rPr>
        <w:t>另行签</w:t>
      </w:r>
      <w:r>
        <w:rPr>
          <w:rFonts w:hint="eastAsia" w:ascii="宋体" w:hAnsi="宋体" w:eastAsia="宋体" w:cs="宋体"/>
          <w:color w:val="auto"/>
          <w:sz w:val="24"/>
          <w:szCs w:val="24"/>
          <w:highlight w:val="none"/>
          <w:lang w:val="en-US" w:eastAsia="zh-CN"/>
        </w:rPr>
        <w:t>订</w:t>
      </w:r>
      <w:r>
        <w:rPr>
          <w:rFonts w:hint="eastAsia" w:ascii="宋体" w:hAnsi="宋体" w:eastAsia="宋体" w:cs="宋体"/>
          <w:color w:val="auto"/>
          <w:sz w:val="24"/>
          <w:szCs w:val="24"/>
          <w:highlight w:val="none"/>
        </w:rPr>
        <w:t>书面补充协议，补充协议与本合同具有同等效力。</w:t>
      </w:r>
    </w:p>
    <w:p w14:paraId="1AA96FFD">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4.本合同一式四份</w:t>
      </w:r>
      <w:r>
        <w:rPr>
          <w:rFonts w:hint="eastAsia" w:ascii="宋体" w:hAnsi="宋体" w:eastAsia="宋体" w:cs="宋体"/>
          <w:color w:val="auto"/>
          <w:sz w:val="24"/>
          <w:szCs w:val="24"/>
          <w:highlight w:val="none"/>
        </w:rPr>
        <w:t>，甲乙双方各执</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rPr>
        <w:t>份，</w:t>
      </w:r>
      <w:r>
        <w:rPr>
          <w:rFonts w:hint="eastAsia" w:ascii="宋体" w:hAnsi="宋体" w:eastAsia="宋体" w:cs="宋体"/>
          <w:color w:val="auto"/>
          <w:sz w:val="24"/>
          <w:szCs w:val="24"/>
          <w:highlight w:val="none"/>
          <w:lang w:val="en-US" w:eastAsia="zh-CN"/>
        </w:rPr>
        <w:t>县</w:t>
      </w:r>
      <w:r>
        <w:rPr>
          <w:rFonts w:hint="eastAsia" w:ascii="宋体" w:hAnsi="宋体" w:eastAsia="宋体" w:cs="宋体"/>
          <w:color w:val="auto"/>
          <w:sz w:val="24"/>
          <w:szCs w:val="24"/>
          <w:highlight w:val="none"/>
        </w:rPr>
        <w:t>农村集体资产管理部门备案</w:t>
      </w:r>
      <w:r>
        <w:rPr>
          <w:rFonts w:hint="eastAsia" w:ascii="宋体" w:hAnsi="宋体" w:cs="宋体"/>
          <w:color w:val="auto"/>
          <w:sz w:val="24"/>
          <w:szCs w:val="24"/>
          <w:highlight w:val="none"/>
          <w:lang w:val="en-US" w:eastAsia="zh-CN"/>
        </w:rPr>
        <w:t>一</w:t>
      </w:r>
      <w:r>
        <w:rPr>
          <w:rFonts w:hint="eastAsia" w:ascii="宋体" w:hAnsi="宋体" w:eastAsia="宋体" w:cs="宋体"/>
          <w:color w:val="auto"/>
          <w:sz w:val="24"/>
          <w:szCs w:val="24"/>
          <w:highlight w:val="none"/>
        </w:rPr>
        <w:t>份，</w:t>
      </w:r>
      <w:r>
        <w:rPr>
          <w:rFonts w:hint="eastAsia" w:ascii="宋体" w:hAnsi="宋体" w:cs="宋体"/>
          <w:color w:val="auto"/>
          <w:sz w:val="24"/>
          <w:szCs w:val="24"/>
          <w:highlight w:val="none"/>
          <w:lang w:val="en-US" w:eastAsia="zh-CN"/>
        </w:rPr>
        <w:t>临高农村产权交易中心</w:t>
      </w:r>
      <w:r>
        <w:rPr>
          <w:rFonts w:hint="eastAsia" w:ascii="宋体" w:hAnsi="宋体" w:eastAsia="宋体" w:cs="宋体"/>
          <w:color w:val="auto"/>
          <w:sz w:val="24"/>
          <w:szCs w:val="24"/>
          <w:highlight w:val="none"/>
        </w:rPr>
        <w:t>留存</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rPr>
        <w:t xml:space="preserve">份。 </w:t>
      </w:r>
    </w:p>
    <w:p w14:paraId="1E9E08D0">
      <w:pPr>
        <w:pStyle w:val="3"/>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5.其他约定：</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如甲方因村集体建设回收该房屋，甲方应向乙方支付乙方装修部分的折旧费用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0CA0BA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59DC4BBA">
      <w:pPr>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br w:type="page"/>
      </w:r>
    </w:p>
    <w:p w14:paraId="6EDF5C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13B361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03F0B6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zh-TW" w:eastAsia="zh-TW"/>
        </w:rPr>
      </w:pPr>
      <w:r>
        <w:rPr>
          <w:rFonts w:hint="eastAsia" w:ascii="宋体" w:hAnsi="宋体" w:eastAsia="宋体" w:cs="宋体"/>
          <w:color w:val="auto"/>
          <w:sz w:val="24"/>
          <w:szCs w:val="24"/>
          <w:highlight w:val="none"/>
          <w:lang w:val="zh-TW" w:eastAsia="zh-TW"/>
        </w:rPr>
        <w:t>甲方（签字</w:t>
      </w:r>
      <w:r>
        <w:rPr>
          <w:rFonts w:hint="eastAsia" w:ascii="宋体" w:hAnsi="宋体" w:eastAsia="宋体" w:cs="宋体"/>
          <w:color w:val="auto"/>
          <w:sz w:val="24"/>
          <w:szCs w:val="24"/>
          <w:highlight w:val="none"/>
        </w:rPr>
        <w:t>并</w:t>
      </w:r>
      <w:r>
        <w:rPr>
          <w:rFonts w:hint="eastAsia" w:ascii="宋体" w:hAnsi="宋体" w:eastAsia="宋体" w:cs="宋体"/>
          <w:color w:val="auto"/>
          <w:sz w:val="24"/>
          <w:szCs w:val="24"/>
          <w:highlight w:val="none"/>
          <w:lang w:val="zh-TW" w:eastAsia="zh-TW"/>
        </w:rPr>
        <w:t xml:space="preserve">盖章）：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rPr>
        <w:t>日</w:t>
      </w:r>
    </w:p>
    <w:tbl>
      <w:tblPr>
        <w:tblStyle w:val="6"/>
        <w:tblW w:w="8824" w:type="dxa"/>
        <w:jc w:val="center"/>
        <w:tblLayout w:type="fixed"/>
        <w:tblCellMar>
          <w:top w:w="0" w:type="dxa"/>
          <w:left w:w="108" w:type="dxa"/>
          <w:bottom w:w="0" w:type="dxa"/>
          <w:right w:w="108" w:type="dxa"/>
        </w:tblCellMar>
      </w:tblPr>
      <w:tblGrid>
        <w:gridCol w:w="2419"/>
        <w:gridCol w:w="2592"/>
        <w:gridCol w:w="1295"/>
        <w:gridCol w:w="2518"/>
      </w:tblGrid>
      <w:tr w14:paraId="42F3BCD1">
        <w:tblPrEx>
          <w:tblCellMar>
            <w:top w:w="0" w:type="dxa"/>
            <w:left w:w="108" w:type="dxa"/>
            <w:bottom w:w="0" w:type="dxa"/>
            <w:right w:w="108" w:type="dxa"/>
          </w:tblCellMar>
        </w:tblPrEx>
        <w:trPr>
          <w:trHeight w:val="936"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2F6958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法定代表人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主要负责人姓名</w:t>
            </w:r>
          </w:p>
        </w:tc>
        <w:tc>
          <w:tcPr>
            <w:tcW w:w="2592" w:type="dxa"/>
            <w:tcBorders>
              <w:top w:val="single" w:color="auto" w:sz="4" w:space="0"/>
              <w:left w:val="single" w:color="auto" w:sz="4" w:space="0"/>
              <w:bottom w:val="nil"/>
              <w:right w:val="nil"/>
            </w:tcBorders>
            <w:shd w:val="clear" w:color="auto" w:fill="FFFFFF"/>
            <w:noWrap w:val="0"/>
            <w:vAlign w:val="center"/>
          </w:tcPr>
          <w:p w14:paraId="3A05A8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cs="宋体"/>
                <w:bCs/>
                <w:color w:val="auto"/>
                <w:sz w:val="24"/>
                <w:highlight w:val="none"/>
                <w:lang w:val="en-US" w:eastAsia="zh-CN"/>
              </w:rPr>
              <w:t>王不军</w:t>
            </w:r>
          </w:p>
        </w:tc>
        <w:tc>
          <w:tcPr>
            <w:tcW w:w="1295" w:type="dxa"/>
            <w:tcBorders>
              <w:top w:val="single" w:color="auto" w:sz="4" w:space="0"/>
              <w:left w:val="single" w:color="auto" w:sz="4" w:space="0"/>
              <w:bottom w:val="nil"/>
              <w:right w:val="nil"/>
            </w:tcBorders>
            <w:shd w:val="clear" w:color="auto" w:fill="FFFFFF"/>
            <w:noWrap w:val="0"/>
            <w:vAlign w:val="center"/>
          </w:tcPr>
          <w:p w14:paraId="121B64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CN"/>
              </w:rPr>
            </w:pPr>
            <w:r>
              <w:rPr>
                <w:rFonts w:hint="eastAsia" w:ascii="宋体" w:hAnsi="宋体" w:cs="宋体"/>
                <w:color w:val="auto"/>
                <w:sz w:val="24"/>
                <w:szCs w:val="24"/>
                <w:highlight w:val="none"/>
                <w:lang w:val="en-US" w:eastAsia="zh-CN"/>
              </w:rPr>
              <w:t>村集体</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统一</w:t>
            </w:r>
            <w:r>
              <w:rPr>
                <w:rFonts w:hint="eastAsia" w:ascii="宋体" w:hAnsi="宋体" w:eastAsia="宋体" w:cs="宋体"/>
                <w:color w:val="auto"/>
                <w:sz w:val="24"/>
                <w:szCs w:val="24"/>
                <w:highlight w:val="none"/>
                <w:lang w:val="zh-TW"/>
              </w:rPr>
              <w:t>信用代码</w:t>
            </w:r>
            <w:r>
              <w:rPr>
                <w:rFonts w:hint="eastAsia" w:ascii="宋体" w:hAnsi="宋体" w:eastAsia="宋体" w:cs="宋体"/>
                <w:color w:val="auto"/>
                <w:sz w:val="24"/>
                <w:szCs w:val="24"/>
                <w:highlight w:val="none"/>
                <w:lang w:val="zh-TW" w:eastAsia="zh-CN"/>
              </w:rPr>
              <w:t>）</w:t>
            </w:r>
          </w:p>
        </w:tc>
        <w:tc>
          <w:tcPr>
            <w:tcW w:w="2518" w:type="dxa"/>
            <w:tcBorders>
              <w:top w:val="single" w:color="auto" w:sz="4" w:space="0"/>
              <w:left w:val="single" w:color="auto" w:sz="4" w:space="0"/>
              <w:bottom w:val="nil"/>
              <w:right w:val="single" w:color="auto" w:sz="4" w:space="0"/>
            </w:tcBorders>
            <w:shd w:val="clear" w:color="auto" w:fill="FFFFFF"/>
            <w:noWrap w:val="0"/>
            <w:vAlign w:val="center"/>
          </w:tcPr>
          <w:p w14:paraId="4FB7E7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cs="宋体"/>
                <w:bCs/>
                <w:color w:val="auto"/>
                <w:sz w:val="24"/>
                <w:highlight w:val="none"/>
                <w:lang w:val="en-US" w:eastAsia="zh-CN"/>
              </w:rPr>
              <w:t>544690224ME17585513</w:t>
            </w:r>
          </w:p>
        </w:tc>
      </w:tr>
      <w:tr w14:paraId="0427129F">
        <w:tblPrEx>
          <w:tblCellMar>
            <w:top w:w="0" w:type="dxa"/>
            <w:left w:w="108" w:type="dxa"/>
            <w:bottom w:w="0" w:type="dxa"/>
            <w:right w:w="108" w:type="dxa"/>
          </w:tblCellMar>
        </w:tblPrEx>
        <w:trPr>
          <w:trHeight w:val="467"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06EAFB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身份证号</w:t>
            </w:r>
          </w:p>
        </w:tc>
        <w:tc>
          <w:tcPr>
            <w:tcW w:w="2592" w:type="dxa"/>
            <w:tcBorders>
              <w:top w:val="single" w:color="auto" w:sz="4" w:space="0"/>
              <w:left w:val="single" w:color="auto" w:sz="4" w:space="0"/>
              <w:bottom w:val="nil"/>
              <w:right w:val="nil"/>
            </w:tcBorders>
            <w:shd w:val="clear" w:color="auto" w:fill="FFFFFF"/>
            <w:noWrap w:val="0"/>
            <w:vAlign w:val="center"/>
          </w:tcPr>
          <w:p w14:paraId="4C6D5B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Cs/>
                <w:color w:val="auto"/>
                <w:sz w:val="24"/>
                <w:highlight w:val="none"/>
              </w:rPr>
              <w:t>46902419740402601X</w:t>
            </w:r>
          </w:p>
        </w:tc>
        <w:tc>
          <w:tcPr>
            <w:tcW w:w="1295" w:type="dxa"/>
            <w:tcBorders>
              <w:top w:val="single" w:color="auto" w:sz="4" w:space="0"/>
              <w:left w:val="single" w:color="auto" w:sz="4" w:space="0"/>
              <w:bottom w:val="nil"/>
              <w:right w:val="nil"/>
            </w:tcBorders>
            <w:shd w:val="clear" w:color="auto" w:fill="FFFFFF"/>
            <w:noWrap w:val="0"/>
            <w:vAlign w:val="center"/>
          </w:tcPr>
          <w:p w14:paraId="35B9514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eastAsia="zh-TW"/>
              </w:rPr>
              <w:t>联系方式</w:t>
            </w:r>
          </w:p>
        </w:tc>
        <w:tc>
          <w:tcPr>
            <w:tcW w:w="2518" w:type="dxa"/>
            <w:tcBorders>
              <w:top w:val="single" w:color="auto" w:sz="4" w:space="0"/>
              <w:left w:val="single" w:color="auto" w:sz="4" w:space="0"/>
              <w:bottom w:val="nil"/>
              <w:right w:val="single" w:color="auto" w:sz="4" w:space="0"/>
            </w:tcBorders>
            <w:shd w:val="clear" w:color="auto" w:fill="FFFFFF"/>
            <w:noWrap w:val="0"/>
            <w:vAlign w:val="center"/>
          </w:tcPr>
          <w:p w14:paraId="13CAB1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38A51441">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40FC51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地</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址</w:t>
            </w:r>
          </w:p>
        </w:tc>
        <w:tc>
          <w:tcPr>
            <w:tcW w:w="6405" w:type="dxa"/>
            <w:gridSpan w:val="3"/>
            <w:tcBorders>
              <w:top w:val="single" w:color="auto" w:sz="4" w:space="0"/>
              <w:left w:val="single" w:color="auto" w:sz="4" w:space="0"/>
              <w:bottom w:val="nil"/>
              <w:right w:val="single" w:color="auto" w:sz="4" w:space="0"/>
            </w:tcBorders>
            <w:shd w:val="clear" w:color="auto" w:fill="FFFFFF"/>
            <w:noWrap w:val="0"/>
            <w:vAlign w:val="center"/>
          </w:tcPr>
          <w:p w14:paraId="14FDF8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cs="宋体"/>
                <w:bCs/>
                <w:color w:val="auto"/>
                <w:sz w:val="24"/>
                <w:highlight w:val="none"/>
                <w:lang w:val="en-US" w:eastAsia="zh-CN"/>
              </w:rPr>
              <w:t>临高县波莲镇美珠村委会美珠村</w:t>
            </w:r>
          </w:p>
        </w:tc>
      </w:tr>
    </w:tbl>
    <w:p w14:paraId="6ABFA1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2CF9A2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326ECB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2CCA5F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乙方（签字</w:t>
      </w:r>
      <w:r>
        <w:rPr>
          <w:rFonts w:hint="eastAsia" w:ascii="宋体" w:hAnsi="宋体" w:eastAsia="宋体" w:cs="宋体"/>
          <w:color w:val="auto"/>
          <w:sz w:val="24"/>
          <w:szCs w:val="24"/>
          <w:highlight w:val="none"/>
        </w:rPr>
        <w:t>并</w:t>
      </w:r>
      <w:r>
        <w:rPr>
          <w:rFonts w:hint="eastAsia" w:ascii="宋体" w:hAnsi="宋体" w:eastAsia="宋体" w:cs="宋体"/>
          <w:color w:val="auto"/>
          <w:sz w:val="24"/>
          <w:szCs w:val="24"/>
          <w:highlight w:val="none"/>
          <w:lang w:val="zh-TW" w:eastAsia="zh-TW"/>
        </w:rPr>
        <w:t>盖章</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 xml:space="preserve">日 </w:t>
      </w:r>
    </w:p>
    <w:tbl>
      <w:tblPr>
        <w:tblStyle w:val="6"/>
        <w:tblW w:w="8824" w:type="dxa"/>
        <w:jc w:val="center"/>
        <w:tblLayout w:type="fixed"/>
        <w:tblCellMar>
          <w:top w:w="0" w:type="dxa"/>
          <w:left w:w="108" w:type="dxa"/>
          <w:bottom w:w="0" w:type="dxa"/>
          <w:right w:w="108" w:type="dxa"/>
        </w:tblCellMar>
      </w:tblPr>
      <w:tblGrid>
        <w:gridCol w:w="2432"/>
        <w:gridCol w:w="2579"/>
        <w:gridCol w:w="1308"/>
        <w:gridCol w:w="2505"/>
      </w:tblGrid>
      <w:tr w14:paraId="113B10D7">
        <w:tblPrEx>
          <w:tblCellMar>
            <w:top w:w="0" w:type="dxa"/>
            <w:left w:w="108" w:type="dxa"/>
            <w:bottom w:w="0" w:type="dxa"/>
            <w:right w:w="108" w:type="dxa"/>
          </w:tblCellMar>
        </w:tblPrEx>
        <w:trPr>
          <w:trHeight w:val="893"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33EDD1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rPr>
              <w:t>自然人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法定代表人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主要负责人姓名</w:t>
            </w:r>
          </w:p>
        </w:tc>
        <w:tc>
          <w:tcPr>
            <w:tcW w:w="2579" w:type="dxa"/>
            <w:tcBorders>
              <w:top w:val="single" w:color="auto" w:sz="4" w:space="0"/>
              <w:left w:val="single" w:color="auto" w:sz="4" w:space="0"/>
              <w:bottom w:val="nil"/>
              <w:right w:val="nil"/>
            </w:tcBorders>
            <w:shd w:val="clear" w:color="auto" w:fill="FFFFFF"/>
            <w:noWrap w:val="0"/>
            <w:vAlign w:val="center"/>
          </w:tcPr>
          <w:p w14:paraId="6C6DA7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王阶</w:t>
            </w:r>
          </w:p>
        </w:tc>
        <w:tc>
          <w:tcPr>
            <w:tcW w:w="1308" w:type="dxa"/>
            <w:tcBorders>
              <w:top w:val="single" w:color="auto" w:sz="4" w:space="0"/>
              <w:left w:val="single" w:color="auto" w:sz="4" w:space="0"/>
              <w:bottom w:val="nil"/>
              <w:right w:val="nil"/>
            </w:tcBorders>
            <w:shd w:val="clear" w:color="auto" w:fill="FFFFFF"/>
            <w:noWrap w:val="0"/>
            <w:vAlign w:val="center"/>
          </w:tcPr>
          <w:p w14:paraId="68B0CC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en-US" w:eastAsia="zh-CN"/>
              </w:rPr>
              <w:t>身份证号（</w:t>
            </w:r>
            <w:r>
              <w:rPr>
                <w:rFonts w:hint="eastAsia" w:ascii="宋体" w:hAnsi="宋体" w:eastAsia="宋体" w:cs="宋体"/>
                <w:color w:val="auto"/>
                <w:sz w:val="24"/>
                <w:szCs w:val="24"/>
                <w:highlight w:val="none"/>
                <w:lang w:val="zh-TW" w:eastAsia="zh-TW"/>
              </w:rPr>
              <w:t>统一</w:t>
            </w:r>
            <w:r>
              <w:rPr>
                <w:rFonts w:hint="eastAsia" w:ascii="宋体" w:hAnsi="宋体" w:eastAsia="宋体" w:cs="宋体"/>
                <w:color w:val="auto"/>
                <w:sz w:val="24"/>
                <w:szCs w:val="24"/>
                <w:highlight w:val="none"/>
                <w:lang w:val="zh-TW"/>
              </w:rPr>
              <w:t>信用代码</w:t>
            </w:r>
            <w:r>
              <w:rPr>
                <w:rFonts w:hint="eastAsia" w:ascii="宋体" w:hAnsi="宋体" w:eastAsia="宋体" w:cs="宋体"/>
                <w:color w:val="auto"/>
                <w:sz w:val="24"/>
                <w:szCs w:val="24"/>
                <w:highlight w:val="none"/>
                <w:lang w:val="zh-TW" w:eastAsia="zh-CN"/>
              </w:rPr>
              <w:t>）</w:t>
            </w:r>
          </w:p>
        </w:tc>
        <w:tc>
          <w:tcPr>
            <w:tcW w:w="2505" w:type="dxa"/>
            <w:tcBorders>
              <w:top w:val="single" w:color="auto" w:sz="4" w:space="0"/>
              <w:left w:val="single" w:color="auto" w:sz="4" w:space="0"/>
              <w:bottom w:val="nil"/>
              <w:right w:val="single" w:color="auto" w:sz="4" w:space="0"/>
            </w:tcBorders>
            <w:shd w:val="clear" w:color="auto" w:fill="FFFFFF"/>
            <w:noWrap w:val="0"/>
            <w:vAlign w:val="center"/>
          </w:tcPr>
          <w:p w14:paraId="16FB144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highlight w:val="none"/>
                <w:lang w:val="en-US" w:eastAsia="zh-CN"/>
              </w:rPr>
              <w:t>460028196203056012</w:t>
            </w:r>
          </w:p>
        </w:tc>
      </w:tr>
      <w:tr w14:paraId="36331653">
        <w:tblPrEx>
          <w:tblCellMar>
            <w:top w:w="0" w:type="dxa"/>
            <w:left w:w="108" w:type="dxa"/>
            <w:bottom w:w="0" w:type="dxa"/>
            <w:right w:w="108" w:type="dxa"/>
          </w:tblCellMar>
        </w:tblPrEx>
        <w:trPr>
          <w:trHeight w:val="408"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426834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身份证号</w:t>
            </w:r>
          </w:p>
        </w:tc>
        <w:tc>
          <w:tcPr>
            <w:tcW w:w="2579" w:type="dxa"/>
            <w:tcBorders>
              <w:top w:val="single" w:color="auto" w:sz="4" w:space="0"/>
              <w:left w:val="single" w:color="auto" w:sz="4" w:space="0"/>
              <w:bottom w:val="nil"/>
              <w:right w:val="nil"/>
            </w:tcBorders>
            <w:shd w:val="clear" w:color="auto" w:fill="FFFFFF"/>
            <w:noWrap w:val="0"/>
            <w:vAlign w:val="center"/>
          </w:tcPr>
          <w:p w14:paraId="60C8F8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Cs/>
                <w:color w:val="auto"/>
                <w:sz w:val="24"/>
                <w:highlight w:val="none"/>
                <w:lang w:val="en-US" w:eastAsia="zh-CN"/>
              </w:rPr>
              <w:t>460028196203056012</w:t>
            </w:r>
          </w:p>
        </w:tc>
        <w:tc>
          <w:tcPr>
            <w:tcW w:w="1308" w:type="dxa"/>
            <w:tcBorders>
              <w:top w:val="single" w:color="auto" w:sz="4" w:space="0"/>
              <w:left w:val="single" w:color="auto" w:sz="4" w:space="0"/>
              <w:bottom w:val="nil"/>
              <w:right w:val="nil"/>
            </w:tcBorders>
            <w:shd w:val="clear" w:color="auto" w:fill="FFFFFF"/>
            <w:noWrap w:val="0"/>
            <w:vAlign w:val="center"/>
          </w:tcPr>
          <w:p w14:paraId="35277C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zh-TW" w:eastAsia="zh-CN" w:bidi="ar-SA"/>
              </w:rPr>
            </w:pPr>
            <w:r>
              <w:rPr>
                <w:rFonts w:hint="eastAsia" w:ascii="宋体" w:hAnsi="宋体" w:eastAsia="宋体" w:cs="宋体"/>
                <w:color w:val="auto"/>
                <w:sz w:val="24"/>
                <w:szCs w:val="24"/>
                <w:highlight w:val="none"/>
                <w:lang w:val="zh-TW" w:eastAsia="zh-TW"/>
              </w:rPr>
              <w:t>联系方式</w:t>
            </w:r>
          </w:p>
        </w:tc>
        <w:tc>
          <w:tcPr>
            <w:tcW w:w="2505" w:type="dxa"/>
            <w:tcBorders>
              <w:top w:val="single" w:color="auto" w:sz="4" w:space="0"/>
              <w:left w:val="single" w:color="auto" w:sz="4" w:space="0"/>
              <w:bottom w:val="nil"/>
              <w:right w:val="single" w:color="auto" w:sz="4" w:space="0"/>
            </w:tcBorders>
            <w:shd w:val="clear" w:color="auto" w:fill="FFFFFF"/>
            <w:noWrap w:val="0"/>
            <w:vAlign w:val="center"/>
          </w:tcPr>
          <w:p w14:paraId="62393E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15338932993</w:t>
            </w:r>
          </w:p>
        </w:tc>
      </w:tr>
      <w:tr w14:paraId="2EC4CBEC">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5587EB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地</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址</w:t>
            </w:r>
          </w:p>
        </w:tc>
        <w:tc>
          <w:tcPr>
            <w:tcW w:w="6392" w:type="dxa"/>
            <w:gridSpan w:val="3"/>
            <w:tcBorders>
              <w:top w:val="single" w:color="auto" w:sz="4" w:space="0"/>
              <w:left w:val="single" w:color="auto" w:sz="4" w:space="0"/>
              <w:bottom w:val="nil"/>
              <w:right w:val="single" w:color="auto" w:sz="4" w:space="0"/>
            </w:tcBorders>
            <w:shd w:val="clear" w:color="auto" w:fill="FFFFFF"/>
            <w:noWrap w:val="0"/>
            <w:vAlign w:val="center"/>
          </w:tcPr>
          <w:p w14:paraId="3ACA97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临高县波莲镇美珠村委会美珠村美中巷19号</w:t>
            </w:r>
          </w:p>
        </w:tc>
      </w:tr>
    </w:tbl>
    <w:p w14:paraId="7F6BA9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 w:val="24"/>
          <w:szCs w:val="24"/>
          <w:highlight w:val="none"/>
          <w:lang w:val="en-US" w:eastAsia="zh-CN"/>
        </w:rPr>
      </w:pPr>
    </w:p>
    <w:p w14:paraId="614CA0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 w:val="24"/>
          <w:szCs w:val="24"/>
          <w:highlight w:val="none"/>
          <w:lang w:val="en-US" w:eastAsia="zh-CN"/>
        </w:rPr>
      </w:pPr>
    </w:p>
    <w:p w14:paraId="1720D3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 w:val="24"/>
          <w:szCs w:val="24"/>
          <w:highlight w:val="none"/>
          <w:lang w:val="en-US" w:eastAsia="zh-CN"/>
        </w:rPr>
      </w:pPr>
    </w:p>
    <w:p w14:paraId="4975775E">
      <w:pPr>
        <w:pStyle w:val="3"/>
        <w:ind w:left="0" w:leftChars="0" w:firstLine="0" w:firstLineChars="0"/>
        <w:rPr>
          <w:rFonts w:hint="eastAsia" w:ascii="宋体" w:hAnsi="宋体" w:cs="宋体"/>
          <w:color w:val="auto"/>
          <w:sz w:val="24"/>
          <w:szCs w:val="24"/>
          <w:highlight w:val="none"/>
          <w:lang w:val="en-US" w:eastAsia="zh-CN"/>
        </w:rPr>
      </w:pPr>
    </w:p>
    <w:p w14:paraId="194F0899">
      <w:pPr>
        <w:pStyle w:val="3"/>
        <w:ind w:left="0" w:leftChars="0" w:firstLine="0" w:firstLineChars="0"/>
        <w:rPr>
          <w:rFonts w:hint="eastAsia" w:ascii="宋体" w:hAnsi="宋体" w:cs="宋体"/>
          <w:color w:val="auto"/>
          <w:sz w:val="24"/>
          <w:szCs w:val="24"/>
          <w:highlight w:val="none"/>
          <w:lang w:val="en-US" w:eastAsia="zh-CN"/>
        </w:rPr>
      </w:pPr>
    </w:p>
    <w:p w14:paraId="550559F7">
      <w:pPr>
        <w:pStyle w:val="3"/>
        <w:ind w:left="0" w:leftChars="0" w:firstLine="0" w:firstLineChars="0"/>
        <w:rPr>
          <w:rFonts w:hint="eastAsia" w:ascii="宋体" w:hAnsi="宋体" w:eastAsia="宋体" w:cs="宋体"/>
          <w:b/>
          <w:bCs/>
          <w:color w:val="auto"/>
          <w:sz w:val="24"/>
          <w:szCs w:val="24"/>
          <w:highlight w:val="none"/>
          <w:lang w:val="zh-TW" w:eastAsia="zh-TW"/>
        </w:rPr>
      </w:pPr>
      <w:r>
        <w:rPr>
          <w:rFonts w:hint="eastAsia" w:ascii="宋体" w:hAnsi="宋体" w:cs="宋体"/>
          <w:color w:val="auto"/>
          <w:sz w:val="24"/>
          <w:szCs w:val="24"/>
          <w:highlight w:val="none"/>
          <w:lang w:val="en-US" w:eastAsia="zh-CN"/>
        </w:rPr>
        <w:t>上级部门备案</w:t>
      </w:r>
      <w:r>
        <w:rPr>
          <w:rFonts w:hint="eastAsia" w:ascii="宋体" w:hAnsi="宋体" w:eastAsia="宋体" w:cs="宋体"/>
          <w:color w:val="auto"/>
          <w:sz w:val="24"/>
          <w:szCs w:val="24"/>
          <w:highlight w:val="none"/>
          <w:lang w:val="zh-TW" w:eastAsia="zh-TW"/>
        </w:rPr>
        <w:t xml:space="preserve">盖章：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 xml:space="preserve">日 </w:t>
      </w:r>
    </w:p>
    <w:p w14:paraId="07A83139">
      <w:pPr>
        <w:pStyle w:val="3"/>
        <w:rPr>
          <w:rFonts w:hint="default" w:ascii="宋体" w:hAnsi="宋体" w:eastAsia="宋体" w:cs="宋体"/>
          <w:b/>
          <w:bCs/>
          <w:color w:val="auto"/>
          <w:sz w:val="24"/>
          <w:szCs w:val="24"/>
          <w:highlight w:val="none"/>
          <w:lang w:val="en-US" w:eastAsia="zh-CN"/>
        </w:rPr>
      </w:pPr>
    </w:p>
    <w:p w14:paraId="2F0DC035">
      <w:pPr>
        <w:rPr>
          <w:b/>
          <w:bC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8538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FF61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EFF61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yODVmMWQxYjhkMmI1Y2IyN2JlYjJjYmY1N2QwMTgifQ=="/>
  </w:docVars>
  <w:rsids>
    <w:rsidRoot w:val="6B910ACF"/>
    <w:rsid w:val="0227311A"/>
    <w:rsid w:val="028C21C0"/>
    <w:rsid w:val="02AD7AC3"/>
    <w:rsid w:val="0DBE2B84"/>
    <w:rsid w:val="0E99714E"/>
    <w:rsid w:val="0EA92F31"/>
    <w:rsid w:val="134F51A0"/>
    <w:rsid w:val="13C54541"/>
    <w:rsid w:val="15701F3D"/>
    <w:rsid w:val="1E803E86"/>
    <w:rsid w:val="211A2370"/>
    <w:rsid w:val="256911D0"/>
    <w:rsid w:val="25D04009"/>
    <w:rsid w:val="29B175E9"/>
    <w:rsid w:val="34CA77B1"/>
    <w:rsid w:val="3AF26BE7"/>
    <w:rsid w:val="3D233C96"/>
    <w:rsid w:val="413C37E5"/>
    <w:rsid w:val="45156827"/>
    <w:rsid w:val="45EF0CAA"/>
    <w:rsid w:val="471B11E2"/>
    <w:rsid w:val="4A730277"/>
    <w:rsid w:val="547E6196"/>
    <w:rsid w:val="5B791466"/>
    <w:rsid w:val="5C0F1DCA"/>
    <w:rsid w:val="5CC315DC"/>
    <w:rsid w:val="5D5F3ABD"/>
    <w:rsid w:val="61680164"/>
    <w:rsid w:val="62483940"/>
    <w:rsid w:val="64DE2339"/>
    <w:rsid w:val="650B2DA9"/>
    <w:rsid w:val="660202AA"/>
    <w:rsid w:val="693C2C56"/>
    <w:rsid w:val="6B910ACF"/>
    <w:rsid w:val="6CD72490"/>
    <w:rsid w:val="70074E3A"/>
    <w:rsid w:val="718D5813"/>
    <w:rsid w:val="77B21B30"/>
    <w:rsid w:val="77F24622"/>
    <w:rsid w:val="7851759A"/>
    <w:rsid w:val="785B21C7"/>
    <w:rsid w:val="7FF21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rFonts w:ascii="Verdana" w:hAnsi="Verdana"/>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3241</Words>
  <Characters>3390</Characters>
  <Lines>0</Lines>
  <Paragraphs>0</Paragraphs>
  <TotalTime>99</TotalTime>
  <ScaleCrop>false</ScaleCrop>
  <LinksUpToDate>false</LinksUpToDate>
  <CharactersWithSpaces>4330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2024-04-21T02:41:00Z</dcterms:created>
  <dc:creator>莫海莹</dc:creator>
  <cp:lastModifiedBy>瑪鏕が宿命</cp:lastModifiedBy>
  <cp:lastPrinted>2026-05-07T02:27:01Z</cp:lastPrinted>
  <dcterms:modified xsi:type="dcterms:W3CDTF">2026-05-07T02:57:36Z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D3BB1F3703C8499F91336010C41139E1_13</vt:lpwstr>
  </property>
  <property fmtid="{D5CDD505-2E9C-101B-9397-08002B2CF9AE}" pid="4" name="KSOTemplateDocerSaveRecord">
    <vt:lpwstr>eyJoZGlkIjoiMTZhYmNhYTI1ZjQxNDFiZWRjOWJjMzI0ZTVkYjYzYTUiLCJ1c2VySWQiOiIyNzcyNDAxNDMifQ==</vt:lpwstr>
  </property>
</Properties>
</file>