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92DE9D">
      <w:pPr>
        <w:keepNext w:val="0"/>
        <w:keepLines w:val="0"/>
        <w:widowControl/>
        <w:suppressLineNumbers w:val="0"/>
        <w:spacing w:line="360" w:lineRule="auto"/>
        <w:jc w:val="center"/>
        <w:outlineLvl w:val="2"/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highlight w:val="none"/>
          <w:lang w:bidi="ar"/>
        </w:rPr>
      </w:pPr>
      <w:r>
        <w:rPr>
          <w:rFonts w:hint="eastAsia" w:ascii="宋体" w:hAnsi="宋体" w:eastAsia="宋体" w:cs="宋体"/>
          <w:b/>
          <w:bCs/>
          <w:color w:val="auto"/>
          <w:kern w:val="0"/>
          <w:sz w:val="44"/>
          <w:szCs w:val="44"/>
          <w:highlight w:val="none"/>
          <w:lang w:val="en-US" w:eastAsia="zh-CN" w:bidi="ar"/>
        </w:rPr>
        <w:t>海南省农村土地经营权出租合同</w:t>
      </w:r>
    </w:p>
    <w:p w14:paraId="4A8AF171">
      <w:pPr>
        <w:rPr>
          <w:color w:val="auto"/>
          <w:highlight w:val="none"/>
        </w:rPr>
      </w:pPr>
    </w:p>
    <w:p w14:paraId="1B4923A7">
      <w:pPr>
        <w:widowControl/>
        <w:spacing w:line="580" w:lineRule="exact"/>
        <w:ind w:firstLine="600" w:firstLineChars="200"/>
        <w:jc w:val="left"/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根据《中华人民共和国民法典》《中华人民共和国农村土地承包 法》和《农村土地经营权流转管理办法》等相关法律法规，本着平等、 自愿、公平、诚信、有偿的原则，经甲乙双方协商一致，就土地经营 权出租事宜，签订本合同。 </w:t>
      </w:r>
    </w:p>
    <w:p w14:paraId="0074C47E">
      <w:pPr>
        <w:pStyle w:val="4"/>
        <w:rPr>
          <w:rFonts w:hint="default"/>
          <w:color w:val="auto"/>
          <w:highlight w:val="none"/>
        </w:rPr>
      </w:pPr>
    </w:p>
    <w:p w14:paraId="5FB8EAE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2" w:firstLineChars="200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一、当事人 </w:t>
      </w:r>
    </w:p>
    <w:p w14:paraId="1C8F7E7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甲方（出租方）：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</w:t>
      </w:r>
    </w:p>
    <w:p w14:paraId="005833A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□社会信用代码：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</w:t>
      </w:r>
    </w:p>
    <w:p w14:paraId="0CFAEC4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□身份证号码：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</w:t>
      </w:r>
    </w:p>
    <w:p w14:paraId="0C4F66A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法定代表人（负责人/农户代表人）：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</w:t>
      </w:r>
    </w:p>
    <w:p w14:paraId="6ACCEB0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u w:val="singl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身份证号码：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</w:t>
      </w:r>
    </w:p>
    <w:p w14:paraId="555E666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联系地址：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联系电话：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</w:t>
      </w:r>
    </w:p>
    <w:p w14:paraId="39C9561A">
      <w:pPr>
        <w:widowControl/>
        <w:spacing w:line="580" w:lineRule="exact"/>
        <w:ind w:firstLine="600" w:firstLineChars="200"/>
        <w:jc w:val="left"/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经营主体类型：□自然人 □农村承包经营户 □农民专业合作社□家庭农场 □农村集体经济组织 □公司 □其他：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>。</w:t>
      </w:r>
    </w:p>
    <w:p w14:paraId="7ADE9DD1">
      <w:pPr>
        <w:pStyle w:val="4"/>
        <w:rPr>
          <w:rFonts w:hint="default"/>
          <w:color w:val="auto"/>
          <w:highlight w:val="none"/>
          <w:lang w:val="en-US"/>
        </w:rPr>
      </w:pPr>
    </w:p>
    <w:p w14:paraId="4D8A0F9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乙方（承租方）：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</w:t>
      </w:r>
    </w:p>
    <w:p w14:paraId="6916F90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□社会信用代码：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</w:t>
      </w:r>
    </w:p>
    <w:p w14:paraId="2432B4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□身份证号码：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</w:t>
      </w:r>
    </w:p>
    <w:p w14:paraId="6AD776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法定代表人（负责人/农户代表人）：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4F1F36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身份证号码：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3232B05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联系地址：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联系电话：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2834FA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00" w:firstLineChars="200"/>
        <w:jc w:val="left"/>
        <w:textAlignment w:val="auto"/>
        <w:rPr>
          <w:rFonts w:hint="default" w:ascii="仿宋" w:hAnsi="仿宋" w:eastAsia="仿宋" w:cs="仿宋"/>
          <w:color w:val="auto"/>
          <w:sz w:val="30"/>
          <w:szCs w:val="30"/>
          <w:highlight w:val="none"/>
          <w:u w:val="single"/>
          <w:lang w:val="en-US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经营主体类型：□自然人 □农村承包经营户 □农民专业合作社□家庭农场 □公司 □其他：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。 </w:t>
      </w:r>
    </w:p>
    <w:p w14:paraId="4D2455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left"/>
        <w:textAlignment w:val="auto"/>
        <w:rPr>
          <w:rFonts w:hint="eastAsia" w:ascii="仿宋" w:hAnsi="仿宋" w:eastAsia="仿宋" w:cs="仿宋"/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二、租赁物 </w:t>
      </w:r>
    </w:p>
    <w:p w14:paraId="5BD646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399" w:leftChars="190"/>
        <w:jc w:val="left"/>
        <w:textAlignment w:val="auto"/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（一）经自愿协商，甲方将其承包的位于海南省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市（县）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</w:t>
      </w:r>
    </w:p>
    <w:p w14:paraId="7861824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left="0" w:leftChars="0"/>
        <w:jc w:val="left"/>
        <w:textAlignment w:val="auto"/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镇（乡/街道）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村（社区）的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" w:hAnsi="仿宋" w:eastAsia="仿宋" w:cs="仿宋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亩土地经营权（具体见下表及附图）出租给乙方。</w:t>
      </w:r>
    </w:p>
    <w:tbl>
      <w:tblPr>
        <w:tblStyle w:val="6"/>
        <w:tblW w:w="9192" w:type="dxa"/>
        <w:tblInd w:w="-84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851"/>
        <w:gridCol w:w="789"/>
        <w:gridCol w:w="853"/>
        <w:gridCol w:w="537"/>
        <w:gridCol w:w="505"/>
        <w:gridCol w:w="568"/>
        <w:gridCol w:w="569"/>
        <w:gridCol w:w="868"/>
        <w:gridCol w:w="806"/>
        <w:gridCol w:w="789"/>
        <w:gridCol w:w="1058"/>
        <w:gridCol w:w="458"/>
      </w:tblGrid>
      <w:tr w14:paraId="6E03F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541" w:type="dxa"/>
            <w:vMerge w:val="restart"/>
            <w:noWrap w:val="0"/>
            <w:vAlign w:val="top"/>
          </w:tcPr>
          <w:p w14:paraId="3F3742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851" w:type="dxa"/>
            <w:vMerge w:val="restart"/>
            <w:noWrap w:val="0"/>
            <w:vAlign w:val="top"/>
          </w:tcPr>
          <w:p w14:paraId="72631E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村</w:t>
            </w:r>
          </w:p>
          <w:p w14:paraId="732683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（组）</w:t>
            </w:r>
          </w:p>
        </w:tc>
        <w:tc>
          <w:tcPr>
            <w:tcW w:w="789" w:type="dxa"/>
            <w:vMerge w:val="restart"/>
            <w:noWrap w:val="0"/>
            <w:vAlign w:val="top"/>
          </w:tcPr>
          <w:p w14:paraId="1D254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地块名称</w:t>
            </w:r>
          </w:p>
        </w:tc>
        <w:tc>
          <w:tcPr>
            <w:tcW w:w="853" w:type="dxa"/>
            <w:vMerge w:val="restart"/>
            <w:noWrap w:val="0"/>
            <w:vAlign w:val="top"/>
          </w:tcPr>
          <w:p w14:paraId="1EE729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地块代码</w:t>
            </w:r>
          </w:p>
        </w:tc>
        <w:tc>
          <w:tcPr>
            <w:tcW w:w="2179" w:type="dxa"/>
            <w:gridSpan w:val="4"/>
            <w:noWrap w:val="0"/>
            <w:vAlign w:val="top"/>
          </w:tcPr>
          <w:p w14:paraId="046EC3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坐落（四至）</w:t>
            </w:r>
          </w:p>
        </w:tc>
        <w:tc>
          <w:tcPr>
            <w:tcW w:w="868" w:type="dxa"/>
            <w:vMerge w:val="restart"/>
            <w:noWrap w:val="0"/>
            <w:vAlign w:val="top"/>
          </w:tcPr>
          <w:p w14:paraId="43277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面积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（亩）</w:t>
            </w:r>
          </w:p>
        </w:tc>
        <w:tc>
          <w:tcPr>
            <w:tcW w:w="806" w:type="dxa"/>
            <w:vMerge w:val="restart"/>
            <w:noWrap w:val="0"/>
            <w:vAlign w:val="top"/>
          </w:tcPr>
          <w:p w14:paraId="1F59FF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质量等级</w:t>
            </w:r>
          </w:p>
        </w:tc>
        <w:tc>
          <w:tcPr>
            <w:tcW w:w="789" w:type="dxa"/>
            <w:vMerge w:val="restart"/>
            <w:noWrap w:val="0"/>
            <w:vAlign w:val="top"/>
          </w:tcPr>
          <w:p w14:paraId="694FA3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土地类型</w:t>
            </w:r>
          </w:p>
        </w:tc>
        <w:tc>
          <w:tcPr>
            <w:tcW w:w="1058" w:type="dxa"/>
            <w:vMerge w:val="restart"/>
            <w:noWrap w:val="0"/>
            <w:vAlign w:val="top"/>
          </w:tcPr>
          <w:p w14:paraId="7B8707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承包合同代码</w:t>
            </w:r>
          </w:p>
        </w:tc>
        <w:tc>
          <w:tcPr>
            <w:tcW w:w="458" w:type="dxa"/>
            <w:vMerge w:val="restart"/>
            <w:noWrap w:val="0"/>
            <w:vAlign w:val="top"/>
          </w:tcPr>
          <w:p w14:paraId="19A3D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highlight w:val="none"/>
                <w:vertAlign w:val="baseline"/>
                <w:lang w:val="en-US" w:eastAsia="zh-CN"/>
              </w:rPr>
              <w:t>备注</w:t>
            </w:r>
          </w:p>
        </w:tc>
      </w:tr>
      <w:tr w14:paraId="607C99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541" w:type="dxa"/>
            <w:vMerge w:val="continue"/>
            <w:noWrap w:val="0"/>
            <w:vAlign w:val="top"/>
          </w:tcPr>
          <w:p w14:paraId="7D743E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851" w:type="dxa"/>
            <w:vMerge w:val="continue"/>
            <w:noWrap w:val="0"/>
            <w:vAlign w:val="top"/>
          </w:tcPr>
          <w:p w14:paraId="3B7E8A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789" w:type="dxa"/>
            <w:vMerge w:val="continue"/>
            <w:noWrap w:val="0"/>
            <w:vAlign w:val="top"/>
          </w:tcPr>
          <w:p w14:paraId="7E275D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853" w:type="dxa"/>
            <w:vMerge w:val="continue"/>
            <w:noWrap w:val="0"/>
            <w:vAlign w:val="top"/>
          </w:tcPr>
          <w:p w14:paraId="31372D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dxa"/>
            <w:noWrap w:val="0"/>
            <w:vAlign w:val="top"/>
          </w:tcPr>
          <w:p w14:paraId="18727B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东</w:t>
            </w:r>
          </w:p>
        </w:tc>
        <w:tc>
          <w:tcPr>
            <w:tcW w:w="505" w:type="dxa"/>
            <w:noWrap w:val="0"/>
            <w:vAlign w:val="top"/>
          </w:tcPr>
          <w:p w14:paraId="588C0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南</w:t>
            </w:r>
          </w:p>
        </w:tc>
        <w:tc>
          <w:tcPr>
            <w:tcW w:w="568" w:type="dxa"/>
            <w:noWrap w:val="0"/>
            <w:vAlign w:val="top"/>
          </w:tcPr>
          <w:p w14:paraId="7ACD75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西</w:t>
            </w:r>
          </w:p>
        </w:tc>
        <w:tc>
          <w:tcPr>
            <w:tcW w:w="569" w:type="dxa"/>
            <w:noWrap w:val="0"/>
            <w:vAlign w:val="top"/>
          </w:tcPr>
          <w:p w14:paraId="07F854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北</w:t>
            </w:r>
          </w:p>
        </w:tc>
        <w:tc>
          <w:tcPr>
            <w:tcW w:w="868" w:type="dxa"/>
            <w:vMerge w:val="continue"/>
            <w:noWrap w:val="0"/>
            <w:vAlign w:val="top"/>
          </w:tcPr>
          <w:p w14:paraId="00E461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806" w:type="dxa"/>
            <w:vMerge w:val="continue"/>
            <w:noWrap w:val="0"/>
            <w:vAlign w:val="top"/>
          </w:tcPr>
          <w:p w14:paraId="4C30F5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789" w:type="dxa"/>
            <w:vMerge w:val="continue"/>
            <w:noWrap w:val="0"/>
            <w:vAlign w:val="top"/>
          </w:tcPr>
          <w:p w14:paraId="4847D6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1058" w:type="dxa"/>
            <w:vMerge w:val="continue"/>
            <w:noWrap w:val="0"/>
            <w:vAlign w:val="top"/>
          </w:tcPr>
          <w:p w14:paraId="61C1D0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default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/>
              </w:rPr>
            </w:pPr>
          </w:p>
        </w:tc>
        <w:tc>
          <w:tcPr>
            <w:tcW w:w="458" w:type="dxa"/>
            <w:vMerge w:val="continue"/>
            <w:noWrap w:val="0"/>
            <w:vAlign w:val="top"/>
          </w:tcPr>
          <w:p w14:paraId="185870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</w:tr>
      <w:tr w14:paraId="1DB0A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541" w:type="dxa"/>
            <w:noWrap w:val="0"/>
            <w:vAlign w:val="top"/>
          </w:tcPr>
          <w:p w14:paraId="26D834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851" w:type="dxa"/>
            <w:noWrap w:val="0"/>
            <w:vAlign w:val="top"/>
          </w:tcPr>
          <w:p w14:paraId="46308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789" w:type="dxa"/>
            <w:noWrap w:val="0"/>
            <w:vAlign w:val="top"/>
          </w:tcPr>
          <w:p w14:paraId="3EF777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853" w:type="dxa"/>
            <w:noWrap w:val="0"/>
            <w:vAlign w:val="top"/>
          </w:tcPr>
          <w:p w14:paraId="79C49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537" w:type="dxa"/>
            <w:noWrap w:val="0"/>
            <w:vAlign w:val="top"/>
          </w:tcPr>
          <w:p w14:paraId="1294E7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505" w:type="dxa"/>
            <w:noWrap w:val="0"/>
            <w:vAlign w:val="top"/>
          </w:tcPr>
          <w:p w14:paraId="382BA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568" w:type="dxa"/>
            <w:noWrap w:val="0"/>
            <w:vAlign w:val="top"/>
          </w:tcPr>
          <w:p w14:paraId="5152D7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569" w:type="dxa"/>
            <w:noWrap w:val="0"/>
            <w:vAlign w:val="top"/>
          </w:tcPr>
          <w:p w14:paraId="360D60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868" w:type="dxa"/>
            <w:noWrap w:val="0"/>
            <w:vAlign w:val="top"/>
          </w:tcPr>
          <w:p w14:paraId="5B007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806" w:type="dxa"/>
            <w:noWrap w:val="0"/>
            <w:vAlign w:val="top"/>
          </w:tcPr>
          <w:p w14:paraId="43F788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789" w:type="dxa"/>
            <w:noWrap w:val="0"/>
            <w:vAlign w:val="top"/>
          </w:tcPr>
          <w:p w14:paraId="754D9C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1058" w:type="dxa"/>
            <w:noWrap w:val="0"/>
            <w:vAlign w:val="top"/>
          </w:tcPr>
          <w:p w14:paraId="586A0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  <w:tc>
          <w:tcPr>
            <w:tcW w:w="458" w:type="dxa"/>
            <w:noWrap w:val="0"/>
            <w:vAlign w:val="top"/>
          </w:tcPr>
          <w:p w14:paraId="17E4E2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</w:rPr>
            </w:pPr>
          </w:p>
        </w:tc>
      </w:tr>
      <w:tr w14:paraId="06FB8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41" w:type="dxa"/>
            <w:noWrap w:val="0"/>
            <w:vAlign w:val="top"/>
          </w:tcPr>
          <w:p w14:paraId="599806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851" w:type="dxa"/>
            <w:noWrap w:val="0"/>
            <w:vAlign w:val="top"/>
          </w:tcPr>
          <w:p w14:paraId="7D7F1A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0329D2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top"/>
          </w:tcPr>
          <w:p w14:paraId="2F850A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dxa"/>
            <w:noWrap w:val="0"/>
            <w:vAlign w:val="top"/>
          </w:tcPr>
          <w:p w14:paraId="50CF547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5" w:type="dxa"/>
            <w:noWrap w:val="0"/>
            <w:vAlign w:val="top"/>
          </w:tcPr>
          <w:p w14:paraId="618908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noWrap w:val="0"/>
            <w:vAlign w:val="top"/>
          </w:tcPr>
          <w:p w14:paraId="2A37B9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9" w:type="dxa"/>
            <w:noWrap w:val="0"/>
            <w:vAlign w:val="top"/>
          </w:tcPr>
          <w:p w14:paraId="0B1EC4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8" w:type="dxa"/>
            <w:noWrap w:val="0"/>
            <w:vAlign w:val="top"/>
          </w:tcPr>
          <w:p w14:paraId="539303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noWrap w:val="0"/>
            <w:vAlign w:val="top"/>
          </w:tcPr>
          <w:p w14:paraId="4CE460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600B63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top"/>
          </w:tcPr>
          <w:p w14:paraId="44344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" w:type="dxa"/>
            <w:noWrap w:val="0"/>
            <w:vAlign w:val="top"/>
          </w:tcPr>
          <w:p w14:paraId="44A4C7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285A4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541" w:type="dxa"/>
            <w:noWrap w:val="0"/>
            <w:vAlign w:val="top"/>
          </w:tcPr>
          <w:p w14:paraId="1857B0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851" w:type="dxa"/>
            <w:noWrap w:val="0"/>
            <w:vAlign w:val="top"/>
          </w:tcPr>
          <w:p w14:paraId="1C58E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6F0AF4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top"/>
          </w:tcPr>
          <w:p w14:paraId="7207DC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dxa"/>
            <w:noWrap w:val="0"/>
            <w:vAlign w:val="top"/>
          </w:tcPr>
          <w:p w14:paraId="485492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5" w:type="dxa"/>
            <w:noWrap w:val="0"/>
            <w:vAlign w:val="top"/>
          </w:tcPr>
          <w:p w14:paraId="3BCB7A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noWrap w:val="0"/>
            <w:vAlign w:val="top"/>
          </w:tcPr>
          <w:p w14:paraId="5B5A7C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9" w:type="dxa"/>
            <w:noWrap w:val="0"/>
            <w:vAlign w:val="top"/>
          </w:tcPr>
          <w:p w14:paraId="35499B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8" w:type="dxa"/>
            <w:noWrap w:val="0"/>
            <w:vAlign w:val="top"/>
          </w:tcPr>
          <w:p w14:paraId="2C109E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noWrap w:val="0"/>
            <w:vAlign w:val="top"/>
          </w:tcPr>
          <w:p w14:paraId="7392AC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257524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top"/>
          </w:tcPr>
          <w:p w14:paraId="55E1B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" w:type="dxa"/>
            <w:noWrap w:val="0"/>
            <w:vAlign w:val="top"/>
          </w:tcPr>
          <w:p w14:paraId="6DD064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117153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541" w:type="dxa"/>
            <w:noWrap w:val="0"/>
            <w:vAlign w:val="top"/>
          </w:tcPr>
          <w:p w14:paraId="6FF59E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 w14:paraId="7E387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39184F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top"/>
          </w:tcPr>
          <w:p w14:paraId="20D86C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dxa"/>
            <w:noWrap w:val="0"/>
            <w:vAlign w:val="top"/>
          </w:tcPr>
          <w:p w14:paraId="3A24ED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5" w:type="dxa"/>
            <w:noWrap w:val="0"/>
            <w:vAlign w:val="top"/>
          </w:tcPr>
          <w:p w14:paraId="50CB53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noWrap w:val="0"/>
            <w:vAlign w:val="top"/>
          </w:tcPr>
          <w:p w14:paraId="4B49E2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9" w:type="dxa"/>
            <w:noWrap w:val="0"/>
            <w:vAlign w:val="top"/>
          </w:tcPr>
          <w:p w14:paraId="3427DD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8" w:type="dxa"/>
            <w:noWrap w:val="0"/>
            <w:vAlign w:val="top"/>
          </w:tcPr>
          <w:p w14:paraId="05D88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noWrap w:val="0"/>
            <w:vAlign w:val="top"/>
          </w:tcPr>
          <w:p w14:paraId="00919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7CBFB0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top"/>
          </w:tcPr>
          <w:p w14:paraId="766333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" w:type="dxa"/>
            <w:noWrap w:val="0"/>
            <w:vAlign w:val="top"/>
          </w:tcPr>
          <w:p w14:paraId="00394C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  <w:tr w14:paraId="0ECCD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</w:trPr>
        <w:tc>
          <w:tcPr>
            <w:tcW w:w="541" w:type="dxa"/>
            <w:noWrap w:val="0"/>
            <w:vAlign w:val="top"/>
          </w:tcPr>
          <w:p w14:paraId="21112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1" w:type="dxa"/>
            <w:noWrap w:val="0"/>
            <w:vAlign w:val="top"/>
          </w:tcPr>
          <w:p w14:paraId="648017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1CC459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53" w:type="dxa"/>
            <w:noWrap w:val="0"/>
            <w:vAlign w:val="top"/>
          </w:tcPr>
          <w:p w14:paraId="496636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37" w:type="dxa"/>
            <w:noWrap w:val="0"/>
            <w:vAlign w:val="top"/>
          </w:tcPr>
          <w:p w14:paraId="0520D5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5" w:type="dxa"/>
            <w:noWrap w:val="0"/>
            <w:vAlign w:val="top"/>
          </w:tcPr>
          <w:p w14:paraId="4E036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8" w:type="dxa"/>
            <w:noWrap w:val="0"/>
            <w:vAlign w:val="top"/>
          </w:tcPr>
          <w:p w14:paraId="757265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69" w:type="dxa"/>
            <w:noWrap w:val="0"/>
            <w:vAlign w:val="top"/>
          </w:tcPr>
          <w:p w14:paraId="4E9883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68" w:type="dxa"/>
            <w:noWrap w:val="0"/>
            <w:vAlign w:val="top"/>
          </w:tcPr>
          <w:p w14:paraId="21977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806" w:type="dxa"/>
            <w:noWrap w:val="0"/>
            <w:vAlign w:val="top"/>
          </w:tcPr>
          <w:p w14:paraId="2DFB4B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89" w:type="dxa"/>
            <w:noWrap w:val="0"/>
            <w:vAlign w:val="top"/>
          </w:tcPr>
          <w:p w14:paraId="1081FD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058" w:type="dxa"/>
            <w:noWrap w:val="0"/>
            <w:vAlign w:val="top"/>
          </w:tcPr>
          <w:p w14:paraId="376075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" w:type="dxa"/>
            <w:noWrap w:val="0"/>
            <w:vAlign w:val="top"/>
          </w:tcPr>
          <w:p w14:paraId="38D368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30"/>
                <w:szCs w:val="30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C3E74DE">
      <w:pPr>
        <w:keepNext w:val="0"/>
        <w:keepLines w:val="0"/>
        <w:widowControl/>
        <w:numPr>
          <w:ilvl w:val="0"/>
          <w:numId w:val="0"/>
        </w:numPr>
        <w:suppressLineNumbers w:val="0"/>
        <w:ind w:firstLine="301" w:firstLineChars="1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>（二）</w:t>
      </w:r>
      <w:r>
        <w:rPr>
          <w:rFonts w:ascii="仿宋_GB2312" w:hAnsi="仿宋_GB2312" w:eastAsia="仿宋_GB2312" w:cs="仿宋_GB2312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>出租土地上的附属建筑和资产情况现状描述：</w:t>
      </w:r>
    </w:p>
    <w:p w14:paraId="594B2263">
      <w:pPr>
        <w:keepNext w:val="0"/>
        <w:keepLines w:val="0"/>
        <w:widowControl/>
        <w:numPr>
          <w:ilvl w:val="0"/>
          <w:numId w:val="0"/>
        </w:numPr>
        <w:suppressLineNumbers w:val="0"/>
        <w:ind w:firstLine="300" w:firstLineChars="100"/>
        <w:jc w:val="left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    </w:t>
      </w:r>
    </w:p>
    <w:p w14:paraId="364658F6">
      <w:pPr>
        <w:keepNext w:val="0"/>
        <w:keepLines w:val="0"/>
        <w:widowControl/>
        <w:numPr>
          <w:ilvl w:val="0"/>
          <w:numId w:val="0"/>
        </w:numPr>
        <w:suppressLineNumbers w:val="0"/>
        <w:ind w:firstLine="300" w:firstLineChars="1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62ED7C17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出租土地上的附属建筑和资产的处置方式描述（可另附件）：</w:t>
      </w:r>
    </w:p>
    <w:p w14:paraId="26737D32">
      <w:pPr>
        <w:keepNext w:val="0"/>
        <w:keepLines w:val="0"/>
        <w:widowControl/>
        <w:suppressLineNumbers w:val="0"/>
        <w:ind w:firstLine="300" w:firstLineChars="1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1FF34095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三、出租土地用途 </w:t>
      </w:r>
    </w:p>
    <w:p w14:paraId="2954AE9E">
      <w:pPr>
        <w:keepNext w:val="0"/>
        <w:keepLines w:val="0"/>
        <w:widowControl/>
        <w:suppressLineNumbers w:val="0"/>
        <w:ind w:firstLine="600" w:firstLineChars="200"/>
        <w:jc w:val="left"/>
        <w:rPr>
          <w:rFonts w:hint="default"/>
          <w:color w:val="auto"/>
          <w:sz w:val="30"/>
          <w:szCs w:val="30"/>
          <w:highlight w:val="none"/>
          <w:lang w:val="en-US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出租土地用途为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6694EAD2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四、租赁期限 </w:t>
      </w:r>
    </w:p>
    <w:p w14:paraId="72F8F1DB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租赁期限自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日起至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日止。 </w:t>
      </w:r>
    </w:p>
    <w:p w14:paraId="4B3757B6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五、出租土地交付时间 </w:t>
      </w:r>
    </w:p>
    <w:p w14:paraId="674BDDF3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甲方应于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日前完成土地交付。 </w:t>
      </w:r>
    </w:p>
    <w:p w14:paraId="2E579016">
      <w:pPr>
        <w:keepNext w:val="0"/>
        <w:keepLines w:val="0"/>
        <w:widowControl/>
        <w:numPr>
          <w:ilvl w:val="0"/>
          <w:numId w:val="1"/>
        </w:numPr>
        <w:suppressLineNumbers w:val="0"/>
        <w:ind w:firstLine="602" w:firstLineChars="200"/>
        <w:jc w:val="left"/>
        <w:rPr>
          <w:rFonts w:hint="eastAsia"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租金、押金、服务费及支付方式 </w:t>
      </w:r>
    </w:p>
    <w:p w14:paraId="568D5BF4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（一）流转费用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标准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0C99AC0B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双方当事人选择第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种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收费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标准。</w:t>
      </w:r>
    </w:p>
    <w:p w14:paraId="0684D0C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1.现金。即每亩每年人民币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大：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)。 </w:t>
      </w:r>
    </w:p>
    <w:p w14:paraId="444D9A0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859" w:leftChars="266" w:hanging="300" w:hangingChars="1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2.实物或实物折资计价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即每亩每年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公斤（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大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写：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） </w:t>
      </w:r>
    </w:p>
    <w:p w14:paraId="45926F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□小麦 □玉米 □稻谷 □其他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或者同等实物按照</w:t>
      </w:r>
    </w:p>
    <w:p w14:paraId="46F2A39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sym w:font="Wingdings 2" w:char="00A3"/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市场价 □国家最低收购价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，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为标准折合成货币。 </w:t>
      </w:r>
    </w:p>
    <w:p w14:paraId="72B168F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3.其他：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。 </w:t>
      </w:r>
    </w:p>
    <w:p w14:paraId="702B99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流转费用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变动：根据当地土地流转价格水平，每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年调整一次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租金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。具体调整方式：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。 </w:t>
      </w:r>
    </w:p>
    <w:p w14:paraId="671B9E7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二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租金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支付 </w:t>
      </w:r>
    </w:p>
    <w:p w14:paraId="745BF4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双方当事人选择第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种方式支付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流转费用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498963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1.一次性支付。乙方须于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日前支付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租金¥：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元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大写：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)。 </w:t>
      </w:r>
    </w:p>
    <w:p w14:paraId="755C8B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2.分期支付。乙方须于每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日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前支付（□当 □后一）年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流转费用¥：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元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大写：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)。  </w:t>
      </w:r>
    </w:p>
    <w:p w14:paraId="217745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3.其他：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1A20A3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00" w:firstLineChars="1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三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）付款方式 </w:t>
      </w:r>
    </w:p>
    <w:p w14:paraId="211775B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双方当事人选择第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种付款方式。 </w:t>
      </w:r>
    </w:p>
    <w:p w14:paraId="0362C7B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1.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本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合同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标的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租金、履约金保证金、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流转交易服务费应由乙方于签订本合同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5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>个工作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内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向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万宁农村产权交易中心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缴纳，收款信息如下：</w:t>
      </w:r>
    </w:p>
    <w:p w14:paraId="6F27919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（1）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现金</w:t>
      </w:r>
    </w:p>
    <w:p w14:paraId="1F45852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（2）银行汇款 </w:t>
      </w:r>
      <w:bookmarkStart w:id="0" w:name="_GoBack"/>
      <w:bookmarkEnd w:id="0"/>
    </w:p>
    <w:p w14:paraId="4CD334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开户行：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 </w:t>
      </w:r>
    </w:p>
    <w:p w14:paraId="09FDE1A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开户名：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</w:t>
      </w:r>
    </w:p>
    <w:p w14:paraId="3FF302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银行账号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eastAsia="zh-CN" w:bidi="ar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 </w:t>
      </w:r>
    </w:p>
    <w:p w14:paraId="0D406B6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万宁农村产权交易中心审核确认收到乙方交来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本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合同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标的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租金、履约金保证金、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流转交易服务费后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日内将标的租金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支付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到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甲方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账户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。</w:t>
      </w:r>
    </w:p>
    <w:p w14:paraId="4FCE319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2.甲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乙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双方直接结算</w:t>
      </w:r>
    </w:p>
    <w:p w14:paraId="3390291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（1）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现金</w:t>
      </w:r>
    </w:p>
    <w:p w14:paraId="164AF0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（1）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银行汇款 </w:t>
      </w:r>
    </w:p>
    <w:p w14:paraId="19B9137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开户行：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 </w:t>
      </w:r>
    </w:p>
    <w:p w14:paraId="5976ED8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开户名：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 </w:t>
      </w:r>
    </w:p>
    <w:p w14:paraId="2EE188DA">
      <w:pPr>
        <w:widowControl/>
        <w:spacing w:line="540" w:lineRule="exact"/>
        <w:ind w:firstLine="60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bidi="ar"/>
        </w:rPr>
        <w:t>银行账号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eastAsia="zh-CN" w:bidi="ar"/>
        </w:rPr>
        <w:t>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none"/>
          <w:lang w:val="en-US" w:eastAsia="zh-CN" w:bidi="ar"/>
        </w:rPr>
        <w:t xml:space="preserve">   </w:t>
      </w:r>
    </w:p>
    <w:p w14:paraId="7897A9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3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.其他：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5BD5A8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（四）风险保障金</w:t>
      </w:r>
    </w:p>
    <w:p w14:paraId="3FD32EF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为了加强风险防范，乙方向甲方支付风险保障金¥：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元（大写：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）。甲乙双方同意，风险保障金可用于抵扣最后一年的租金，乙方正常履约，合同期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满后，甲方应将剩余风险保障金（扣除最后一年租金）不计息返还给乙方；乙方未按照合同约定履约的，甲方有权将风险保障金作为违约金进行扣除。</w:t>
      </w:r>
    </w:p>
    <w:p w14:paraId="4628C71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2" w:firstLineChars="200"/>
        <w:jc w:val="left"/>
        <w:textAlignment w:val="auto"/>
        <w:rPr>
          <w:rFonts w:ascii="仿宋_GB2312" w:hAnsi="仿宋_GB2312" w:eastAsia="仿宋_GB2312" w:cs="仿宋_GB2312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>七、甲方的权利和义务</w:t>
      </w:r>
      <w:r>
        <w:rPr>
          <w:rFonts w:ascii="仿宋_GB2312" w:hAnsi="仿宋_GB2312" w:eastAsia="仿宋_GB2312" w:cs="仿宋_GB2312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6D6064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（一）甲方的权利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00D5065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1.要求乙方按合同约定支付租金； </w:t>
      </w:r>
    </w:p>
    <w:p w14:paraId="7A32B92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2.监督乙方按合同约定的用途依法合理利用和保护出租土地； </w:t>
      </w:r>
    </w:p>
    <w:p w14:paraId="244B0F3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3.制止乙方损害出租土地和农业资源的行为； </w:t>
      </w:r>
    </w:p>
    <w:p w14:paraId="439B6B7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4.租赁期限届满后收回土地经营权； </w:t>
      </w:r>
    </w:p>
    <w:p w14:paraId="5A9D0C6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5.其他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</w:p>
    <w:p w14:paraId="5D0EAE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b w:val="0"/>
          <w:bCs w:val="0"/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（二）甲方的义务 </w:t>
      </w:r>
    </w:p>
    <w:p w14:paraId="316727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1.按照合同约定交付出租土地； </w:t>
      </w:r>
    </w:p>
    <w:p w14:paraId="52EB60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2.合同生效后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日内依据《中华人民共和国农村土地承包法》第三十六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条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的规定向发包方备案； </w:t>
      </w:r>
    </w:p>
    <w:p w14:paraId="255FE1D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3.不得干涉和妨碍乙方依法进行的农业生产经营活动； </w:t>
      </w:r>
    </w:p>
    <w:p w14:paraId="5DDCCEA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4.乙方正常生产所需的水、电、路等配套设施，甲方应负责协调，但不承担任何费用和责任。</w:t>
      </w:r>
    </w:p>
    <w:p w14:paraId="045E11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color w:val="auto"/>
          <w:kern w:val="0"/>
          <w:sz w:val="30"/>
          <w:szCs w:val="30"/>
          <w:highlight w:val="none"/>
          <w:lang w:val="en-US" w:eastAsia="zh-CN" w:bidi="ar"/>
        </w:rPr>
        <w:t>5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.其他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。 </w:t>
      </w:r>
    </w:p>
    <w:p w14:paraId="694E90D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2" w:firstLineChars="200"/>
        <w:jc w:val="left"/>
        <w:textAlignment w:val="auto"/>
        <w:rPr>
          <w:b/>
          <w:bCs/>
          <w:color w:val="auto"/>
          <w:sz w:val="30"/>
          <w:szCs w:val="30"/>
          <w:highlight w:val="none"/>
        </w:rPr>
      </w:pPr>
      <w:r>
        <w:rPr>
          <w:rFonts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八、乙方的权利和义务 </w:t>
      </w:r>
    </w:p>
    <w:p w14:paraId="2443F3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（一）乙方的权利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7E7F3C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1.要求甲方按照合同约定交付出租土地； </w:t>
      </w:r>
    </w:p>
    <w:p w14:paraId="7F7E91C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2.在合同约定的期限内占有农村土地，自主开展农业生产经营并取得收益； </w:t>
      </w:r>
    </w:p>
    <w:p w14:paraId="0176C1D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3.经甲方同意，乙方依法投资改良土壤，建设农业生产附属、配套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设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施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，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并有权按照合同约定对其投资部分获得合理补偿；</w:t>
      </w:r>
    </w:p>
    <w:p w14:paraId="14046DD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4.乙方有权使用流转土地内的机井等农田水利设施，并负责日常维护，但因此产生的水费、电费等各种费用由乙方负责。合同到期，乙方应将承包土地内的机井等农田水利设施交还甲方，如有损坏，乙方应赔偿甲方由此产生的维修费用和由此造成的损失。</w:t>
      </w:r>
    </w:p>
    <w:p w14:paraId="2CC3C22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5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.租赁期限届满，有权在同等条件下优先承租； </w:t>
      </w:r>
    </w:p>
    <w:p w14:paraId="7F8D14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6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.其他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52D6E6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b w:val="0"/>
          <w:bCs w:val="0"/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（二）乙方的义务 </w:t>
      </w:r>
    </w:p>
    <w:p w14:paraId="74D1D25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1.按照合同约定及时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接收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出租土地并按照约定向甲方支付租金； </w:t>
      </w:r>
    </w:p>
    <w:p w14:paraId="1A5F94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00" w:firstLineChars="200"/>
        <w:jc w:val="left"/>
        <w:textAlignment w:val="auto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2.在法律法规政策规定和合同约定允许范围内合理利用出租土地，确保农地农用，符合当地粮食生产等产业规划，不得弃耕抛荒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，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不得破坏农业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综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合生产能力和农业生态环境； </w:t>
      </w:r>
    </w:p>
    <w:p w14:paraId="6C299526">
      <w:pPr>
        <w:keepNext w:val="0"/>
        <w:keepLines w:val="0"/>
        <w:widowControl/>
        <w:suppressLineNumbers w:val="0"/>
        <w:ind w:firstLine="600" w:firstLineChars="2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3.依据有关法律法规保护出租土地，禁止改变出租土地的农业用途，禁止占用出租土地建窑、建坟或者擅自在出租土地上建房、挖砂、采石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采矿、取土等，禁止占用出租的永久基本农田发展林果业和挖塘养鱼；</w:t>
      </w:r>
    </w:p>
    <w:p w14:paraId="09B04158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4.流转到期时，乙方应及时向甲方交还流转的土地。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</w:t>
      </w:r>
    </w:p>
    <w:p w14:paraId="346EB050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5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.其他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4E309082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九、其他约定 </w:t>
      </w:r>
    </w:p>
    <w:p w14:paraId="74505FDD">
      <w:pPr>
        <w:keepNext w:val="0"/>
        <w:keepLines w:val="0"/>
        <w:widowControl/>
        <w:suppressLineNumbers w:val="0"/>
        <w:ind w:firstLine="600" w:firstLineChars="200"/>
        <w:jc w:val="left"/>
        <w:rPr>
          <w:b w:val="0"/>
          <w:bCs w:val="0"/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（一）甲方同意乙方依法 </w:t>
      </w:r>
    </w:p>
    <w:p w14:paraId="7EDC90B6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□投资改良土壤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        </w:t>
      </w: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□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建设农业生产附属、配套设施 </w:t>
      </w:r>
    </w:p>
    <w:p w14:paraId="000B178A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□以土地经营权融资担保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□再流转土地经营权 </w:t>
      </w:r>
    </w:p>
    <w:p w14:paraId="419FFFE4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□其他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590E0838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（二）该出租土地的财政补贴等归属：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1A3AC2F1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三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）本合同期限内，出租土地被依法征收、征用、占用时，有关地上附着物及青苗补偿费的归属：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10D110AD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四</w:t>
      </w:r>
      <w:r>
        <w:rPr>
          <w:rFonts w:ascii="仿宋_GB2312" w:hAnsi="仿宋_GB2312" w:eastAsia="仿宋_GB2312" w:cs="仿宋_GB2312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"/>
        </w:rPr>
        <w:t>）其他事项：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2A243F91">
      <w:pPr>
        <w:keepNext w:val="0"/>
        <w:keepLines w:val="0"/>
        <w:widowControl/>
        <w:suppressLineNumbers w:val="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十、合同变更、解除和终止 </w:t>
      </w:r>
    </w:p>
    <w:p w14:paraId="6986E946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（一）合同有效期间，因不可抗力因素致使合同全部不能履行时，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本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合同自动终止，甲方将合同终止日至租赁到期日的期限内已收取的租金退还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给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乙方；致使合同部分不能履行的，其他部分继续履行，租金可以作相应调整。 </w:t>
      </w:r>
    </w:p>
    <w:p w14:paraId="4F13FA19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（二）如乙方在合同期满后需要继续经营该出租土地，必须在合同期满前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日内书面向甲方提出申请。如乙方不再继续经营的，必须在合同期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满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日内书面通知甲方，并在合同期满后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日内将原出租的土地交还给甲方。 </w:t>
      </w:r>
    </w:p>
    <w:p w14:paraId="14E05D47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（三）合同到期或者未到期由甲方依法提前收回出租土地时，乙方依法投资建设的农业生产附属、配套设施处置方式： </w:t>
      </w:r>
    </w:p>
    <w:p w14:paraId="4BA60D26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□由甲方无偿处置。 </w:t>
      </w:r>
    </w:p>
    <w:p w14:paraId="78625209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□经有资质的第三方评估后，由甲方支付价款购买。 </w:t>
      </w:r>
    </w:p>
    <w:p w14:paraId="270EFFD1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□经双方协商后，由甲方支付价款购买。 </w:t>
      </w:r>
    </w:p>
    <w:p w14:paraId="78493FCC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□由乙方恢复原状。 </w:t>
      </w:r>
    </w:p>
    <w:p w14:paraId="2F160D46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hint="eastAsia" w:ascii="仿宋" w:hAnsi="仿宋" w:eastAsia="仿宋" w:cs="仿宋"/>
          <w:color w:val="auto"/>
          <w:kern w:val="0"/>
          <w:sz w:val="30"/>
          <w:szCs w:val="30"/>
          <w:highlight w:val="none"/>
          <w:lang w:val="en-US" w:eastAsia="zh-CN" w:bidi="ar"/>
        </w:rPr>
        <w:t>□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其他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。 </w:t>
      </w:r>
    </w:p>
    <w:p w14:paraId="59E51302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十一、违约责任 </w:t>
      </w:r>
    </w:p>
    <w:p w14:paraId="107447C1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（一）任何一方违约给对方造成损失的，违约方应承担赔偿责任。 </w:t>
      </w:r>
    </w:p>
    <w:p w14:paraId="00EF67F5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（二）甲方应按合同规定按时向乙方交付土地，逾期一日应向乙方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支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付年租金的万分之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（大写：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）作为违约金。逾期超过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日， </w:t>
      </w:r>
    </w:p>
    <w:p w14:paraId="6AAF289B">
      <w:pPr>
        <w:keepNext w:val="0"/>
        <w:keepLines w:val="0"/>
        <w:widowControl/>
        <w:suppressLineNumbers w:val="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乙方有权解除合同，甲方应当赔偿损失。 </w:t>
      </w:r>
    </w:p>
    <w:p w14:paraId="5E5D6C3B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（三）甲方出租的土地存在权属纠纷或经济纠纷，致使合同全部或部分不能履行的，甲方应当赔偿损失。 </w:t>
      </w:r>
    </w:p>
    <w:p w14:paraId="5C7C9739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（四）甲方违反合同约定擅自干涉和破坏乙方的生产经营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，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致使乙方无法进行正常的生产经营活动的，乙方有权解除合同，甲方应当赔偿损失。 </w:t>
      </w:r>
    </w:p>
    <w:p w14:paraId="49260ABE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（五）乙方应按照合同规定按时足额向甲方支付租金，逾期一日乙方应向甲方支付年租金的万分之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（大写：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）作为违约金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逾期超过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日，甲方有权解除合同，乙方应当赔偿损失。 </w:t>
      </w:r>
    </w:p>
    <w:p w14:paraId="14CE030F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（六）乙方擅自改变出租土地的农业用途、弃耕抛荒连续两年以上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给出租土地造成严重损害或者严重破坏土地生态环境的，甲方有权解除合同、收回该土地经营权，并要求乙方赔偿损失。 </w:t>
      </w:r>
    </w:p>
    <w:p w14:paraId="26E9E7E1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（七）合同期限届满的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，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乙方应当按照合同约定将原出租土地交还给甲方，逾期一日应向甲方支付年租金的万分之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（大写：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）作为违约金。 </w:t>
      </w:r>
    </w:p>
    <w:p w14:paraId="05709447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十二、合同争议解决方式 </w:t>
      </w:r>
    </w:p>
    <w:p w14:paraId="15375B9E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本合同发生争议的，甲乙双方可以协商解决，也可以请求村民委员会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、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乡（镇）人民政府等调解解决。当事人不愿协商、调解或者协商、调解不成的，可以依据《中华人民共和国农村土地承包法》第五十五条的规定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向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农村土地承包仲裁委员会申请仲裁，也可以直接向人民法院起诉。 </w:t>
      </w:r>
    </w:p>
    <w:p w14:paraId="0CBDA015">
      <w:pPr>
        <w:keepNext w:val="0"/>
        <w:keepLines w:val="0"/>
        <w:widowControl/>
        <w:suppressLineNumbers w:val="0"/>
        <w:ind w:firstLine="602" w:firstLineChars="200"/>
        <w:jc w:val="left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 w:ascii="黑体" w:hAnsi="宋体" w:eastAsia="黑体" w:cs="黑体"/>
          <w:b/>
          <w:bCs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十三、附则 </w:t>
      </w:r>
    </w:p>
    <w:p w14:paraId="06D77ECA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（一）本合同未尽事宜，经甲方、乙方协商一致后可签订补充协议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补充协议与本合同具有同等法律效力。 </w:t>
      </w:r>
    </w:p>
    <w:p w14:paraId="2C8D21E4">
      <w:pPr>
        <w:keepNext w:val="0"/>
        <w:keepLines w:val="0"/>
        <w:widowControl/>
        <w:suppressLineNumbers w:val="0"/>
        <w:ind w:firstLine="600" w:firstLineChars="20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补充条款（可另附件）：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。</w:t>
      </w:r>
    </w:p>
    <w:p w14:paraId="71C57159">
      <w:pPr>
        <w:keepNext w:val="0"/>
        <w:keepLines w:val="0"/>
        <w:widowControl/>
        <w:numPr>
          <w:ilvl w:val="0"/>
          <w:numId w:val="2"/>
        </w:numPr>
        <w:suppressLineNumbers w:val="0"/>
        <w:ind w:firstLine="600" w:firstLineChars="2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本合同自甲乙双方签字、盖章或者按指印之日起生效。本合同一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式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份，由甲方、乙方、农村集体经济组织、镇人民政府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（街道办事处）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农村土地承包管理部门、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u w:val="single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，各执一份。 </w:t>
      </w:r>
    </w:p>
    <w:p w14:paraId="52800B6C">
      <w:pPr>
        <w:pStyle w:val="4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3F25B176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2A3DD347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44B84B44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4A85E06F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47495E66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>【以下无正文】</w:t>
      </w:r>
    </w:p>
    <w:p w14:paraId="4DDEDEA0">
      <w:pPr>
        <w:keepNext w:val="0"/>
        <w:keepLines w:val="0"/>
        <w:widowControl/>
        <w:suppressLineNumbers w:val="0"/>
        <w:ind w:firstLine="300" w:firstLineChars="10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甲方：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乙方： </w:t>
      </w:r>
    </w:p>
    <w:p w14:paraId="09EA1F87">
      <w:pPr>
        <w:keepNext w:val="0"/>
        <w:keepLines w:val="0"/>
        <w:widowControl/>
        <w:suppressLineNumbers w:val="0"/>
        <w:jc w:val="left"/>
        <w:rPr>
          <w:rFonts w:hint="default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法定代表人（负责人/农户代表人）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        </w:t>
      </w:r>
      <w:r>
        <w:rPr>
          <w:rFonts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法定代表人（负责人/农户代表人）签字：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                                 签字：</w:t>
      </w:r>
    </w:p>
    <w:p w14:paraId="5C9B32F9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6F795009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</w:pP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签订时间：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日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签订时间：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  <w:u w:val="single"/>
          <w:lang w:val="en-US" w:eastAsia="zh-CN" w:bidi="ar"/>
        </w:rPr>
        <w:t xml:space="preserve">   </w:t>
      </w:r>
      <w:r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  <w:lang w:val="en-US" w:eastAsia="zh-CN" w:bidi="ar"/>
        </w:rPr>
        <w:t xml:space="preserve">日 </w:t>
      </w:r>
    </w:p>
    <w:p w14:paraId="76A17199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</w:pPr>
    </w:p>
    <w:p w14:paraId="1EAF8B70">
      <w:pPr>
        <w:pStyle w:val="4"/>
        <w:rPr>
          <w:color w:val="auto"/>
          <w:sz w:val="30"/>
          <w:szCs w:val="30"/>
          <w:highlight w:val="none"/>
          <w:lang w:val="en-US" w:eastAsia="zh-CN"/>
        </w:rPr>
      </w:pPr>
    </w:p>
    <w:p w14:paraId="1B3A962C">
      <w:pPr>
        <w:keepNext w:val="0"/>
        <w:keepLines w:val="0"/>
        <w:widowControl/>
        <w:suppressLineNumbers w:val="0"/>
        <w:jc w:val="left"/>
        <w:rPr>
          <w:color w:val="auto"/>
          <w:sz w:val="30"/>
          <w:szCs w:val="30"/>
          <w:highlight w:val="none"/>
        </w:rPr>
      </w:pP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签订地点： </w:t>
      </w:r>
      <w:r>
        <w:rPr>
          <w:rFonts w:hint="eastAsia"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                          </w:t>
      </w:r>
      <w:r>
        <w:rPr>
          <w:rFonts w:ascii="仿宋_GB2312" w:hAnsi="仿宋_GB2312" w:eastAsia="仿宋_GB2312" w:cs="仿宋_GB2312"/>
          <w:color w:val="auto"/>
          <w:kern w:val="0"/>
          <w:sz w:val="30"/>
          <w:szCs w:val="30"/>
          <w:highlight w:val="none"/>
          <w:lang w:val="en-US" w:eastAsia="zh-CN" w:bidi="ar"/>
        </w:rPr>
        <w:t xml:space="preserve">签订地点： </w:t>
      </w:r>
    </w:p>
    <w:p w14:paraId="7377DF0B">
      <w:pPr>
        <w:shd w:val="clear" w:color="auto" w:fill="auto"/>
        <w:spacing w:line="360" w:lineRule="auto"/>
        <w:rPr>
          <w:rFonts w:ascii="Times New Roman" w:hAnsi="Times New Roman"/>
          <w:color w:val="auto"/>
          <w:szCs w:val="32"/>
          <w:highlight w:val="none"/>
        </w:rPr>
      </w:pPr>
    </w:p>
    <w:p w14:paraId="668AD1CD">
      <w:pPr>
        <w:shd w:val="clear" w:color="auto" w:fill="auto"/>
        <w:spacing w:line="360" w:lineRule="auto"/>
        <w:rPr>
          <w:rFonts w:ascii="Times New Roman" w:hAnsi="Times New Roman"/>
          <w:color w:val="auto"/>
          <w:szCs w:val="32"/>
          <w:highlight w:val="none"/>
        </w:rPr>
      </w:pPr>
    </w:p>
    <w:p w14:paraId="46D411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MathJax_Vector">
    <w:altName w:val="Trebuchet MS"/>
    <w:panose1 w:val="02000603000000000000"/>
    <w:charset w:val="00"/>
    <w:family w:val="auto"/>
    <w:pitch w:val="default"/>
    <w:sig w:usb0="00000000" w:usb1="0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19C5F9"/>
    <w:multiLevelType w:val="singleLevel"/>
    <w:tmpl w:val="D619C5F9"/>
    <w:lvl w:ilvl="0" w:tentative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12B3E3E"/>
    <w:multiLevelType w:val="singleLevel"/>
    <w:tmpl w:val="012B3E3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ODVmMWQxYjhkMmI1Y2IyN2JlYjJjYmY1N2QwMTgifQ=="/>
  </w:docVars>
  <w:rsids>
    <w:rsidRoot w:val="13A259CA"/>
    <w:rsid w:val="13A259CA"/>
    <w:rsid w:val="2F345CD1"/>
    <w:rsid w:val="544F4CEB"/>
    <w:rsid w:val="6F481360"/>
    <w:rsid w:val="71BE2E58"/>
    <w:rsid w:val="95FFBCBA"/>
    <w:rsid w:val="EBEF8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/>
    </w:pPr>
    <w:rPr>
      <w:rFonts w:ascii="Verdana" w:hAnsi="Verdana"/>
      <w:szCs w:val="20"/>
    </w:r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table" w:styleId="6">
    <w:name w:val="Table Grid"/>
    <w:basedOn w:val="5"/>
    <w:qFormat/>
    <w:uiPriority w:val="39"/>
    <w:rPr>
      <w:rFonts w:ascii="Calibri" w:hAnsi="Calibri" w:eastAsia="宋体" w:cs="Times New Roman"/>
    </w:rPr>
    <w:tblPr>
      <w:tblBorders>
        <w:top w:val="single" w:color="auto" w:sz="2" w:space="0"/>
        <w:left w:val="single" w:color="auto" w:sz="2" w:space="0"/>
        <w:bottom w:val="single" w:color="auto" w:sz="2" w:space="0"/>
        <w:right w:val="single" w:color="auto" w:sz="2" w:space="0"/>
        <w:insideH w:val="single" w:color="auto" w:sz="2" w:space="0"/>
        <w:insideV w:val="single" w:color="auto" w:sz="2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672</Words>
  <Characters>675</Characters>
  <Lines>0</Lines>
  <Paragraphs>0</Paragraphs>
  <TotalTime>1</TotalTime>
  <ScaleCrop>false</ScaleCrop>
  <LinksUpToDate>false</LinksUpToDate>
  <CharactersWithSpaces>1325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2024-04-22T10:38:00Z</dcterms:created>
  <dc:creator>莫海莹</dc:creator>
  <cp:lastModifiedBy>麦邦杰</cp:lastModifiedBy>
  <dcterms:modified xsi:type="dcterms:W3CDTF">2026-09-14T02:17:41Z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530C7D8A32B24911939A5A80CCC75300_11</vt:lpwstr>
  </property>
  <property fmtid="{D5CDD505-2E9C-101B-9397-08002B2CF9AE}" pid="4" name="KSOTemplateDocerSaveRecord">
    <vt:lpwstr>eyJoZGlkIjoiYWVkMzU1N2RjOWQ3NTRhODRjYWRjN2JjMTU0MGJiZGYiLCJ1c2VySWQiOiIxMTIyMTMyNjQzIn0=</vt:lpwstr>
  </property>
</Properties>
</file>