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5499F6A">
      <w:pPr>
        <w:pStyle w:val="3"/>
        <w:spacing w:line="240" w:lineRule="auto"/>
        <w:jc w:val="center"/>
        <w:rPr>
          <w:rFonts w:ascii="黑体" w:hAnsi="黑体"/>
          <w:color w:val="auto"/>
        </w:rPr>
      </w:pPr>
      <w:bookmarkStart w:id="0" w:name="_Toc21422"/>
      <w:bookmarkStart w:id="1" w:name="_Toc20910"/>
      <w:bookmarkStart w:id="2" w:name="_Toc15737"/>
      <w:bookmarkStart w:id="3" w:name="_Toc21762"/>
      <w:bookmarkStart w:id="4" w:name="_Toc32320"/>
      <w:bookmarkStart w:id="5" w:name="_Toc24454"/>
      <w:bookmarkStart w:id="6" w:name="_Toc11918"/>
      <w:bookmarkStart w:id="7" w:name="_Toc7615"/>
      <w:bookmarkStart w:id="8" w:name="_Toc29002"/>
      <w:bookmarkStart w:id="9" w:name="_Toc8396"/>
      <w:bookmarkStart w:id="10" w:name="_Toc24068"/>
      <w:bookmarkStart w:id="11" w:name="_Toc24727"/>
      <w:bookmarkStart w:id="12" w:name="_Toc12789"/>
      <w:bookmarkStart w:id="13" w:name="_Toc13462"/>
      <w:bookmarkStart w:id="14" w:name="_Toc25712"/>
      <w:bookmarkStart w:id="15" w:name="_Toc20033"/>
      <w:r>
        <w:rPr>
          <w:rFonts w:hint="eastAsia" w:ascii="黑体" w:hAnsi="黑体"/>
          <w:color w:val="auto"/>
        </w:rPr>
        <w:t>网络竞价须知</w:t>
      </w:r>
      <w:bookmarkEnd w:id="0"/>
      <w:bookmarkEnd w:id="1"/>
      <w:bookmarkEnd w:id="2"/>
      <w:bookmarkEnd w:id="3"/>
      <w:bookmarkEnd w:id="4"/>
      <w:bookmarkEnd w:id="5"/>
      <w:bookmarkEnd w:id="6"/>
    </w:p>
    <w:p w14:paraId="485CDA5E">
      <w:pPr>
        <w:numPr>
          <w:ilvl w:val="0"/>
          <w:numId w:val="1"/>
        </w:numPr>
        <w:spacing w:line="520" w:lineRule="exact"/>
        <w:rPr>
          <w:rFonts w:ascii="新宋体" w:hAnsi="新宋体" w:eastAsia="新宋体"/>
          <w:color w:val="auto"/>
          <w:sz w:val="28"/>
          <w:szCs w:val="28"/>
        </w:rPr>
      </w:pPr>
      <w:r>
        <w:rPr>
          <w:rFonts w:hint="eastAsia" w:ascii="新宋体" w:hAnsi="新宋体" w:eastAsia="新宋体"/>
          <w:b w:val="0"/>
          <w:bCs w:val="0"/>
          <w:color w:val="auto"/>
          <w:sz w:val="28"/>
          <w:szCs w:val="28"/>
          <w:u w:val="single"/>
          <w:lang w:val="en-US" w:eastAsia="zh-CN"/>
        </w:rPr>
        <w:t>屯昌县屯城镇兴盛小区103号109.61㎡商铺出租</w:t>
      </w:r>
      <w:r>
        <w:rPr>
          <w:rFonts w:hint="eastAsia" w:ascii="新宋体" w:hAnsi="新宋体" w:eastAsia="新宋体"/>
          <w:b w:val="0"/>
          <w:bCs w:val="0"/>
          <w:color w:val="auto"/>
          <w:sz w:val="28"/>
          <w:szCs w:val="28"/>
        </w:rPr>
        <w:t>项目</w:t>
      </w:r>
      <w:r>
        <w:rPr>
          <w:rFonts w:hint="eastAsia" w:ascii="新宋体" w:hAnsi="新宋体" w:eastAsia="新宋体"/>
          <w:color w:val="auto"/>
          <w:sz w:val="28"/>
          <w:szCs w:val="28"/>
        </w:rPr>
        <w:t>《网络竞价须知》（以下简称《须知》），依据《</w:t>
      </w:r>
      <w:r>
        <w:rPr>
          <w:rFonts w:hint="eastAsia" w:ascii="新宋体" w:hAnsi="新宋体" w:eastAsia="新宋体"/>
          <w:color w:val="auto"/>
          <w:sz w:val="28"/>
          <w:szCs w:val="28"/>
          <w:lang w:val="en-US" w:eastAsia="zh-CN"/>
        </w:rPr>
        <w:t>屯昌</w:t>
      </w:r>
      <w:r>
        <w:rPr>
          <w:rFonts w:hint="eastAsia" w:ascii="新宋体" w:hAnsi="新宋体" w:eastAsia="新宋体"/>
          <w:color w:val="auto"/>
          <w:sz w:val="28"/>
          <w:szCs w:val="28"/>
        </w:rPr>
        <w:t>农村产权交易</w:t>
      </w:r>
      <w:r>
        <w:rPr>
          <w:rFonts w:hint="eastAsia" w:ascii="新宋体" w:hAnsi="新宋体" w:eastAsia="新宋体"/>
          <w:color w:val="auto"/>
          <w:sz w:val="28"/>
          <w:szCs w:val="28"/>
          <w:lang w:val="en-US" w:eastAsia="zh-CN"/>
        </w:rPr>
        <w:t>中心</w:t>
      </w:r>
      <w:r>
        <w:rPr>
          <w:rFonts w:hint="eastAsia" w:ascii="新宋体" w:hAnsi="新宋体" w:eastAsia="新宋体"/>
          <w:color w:val="auto"/>
          <w:sz w:val="28"/>
          <w:szCs w:val="28"/>
        </w:rPr>
        <w:t>交易规则（试行）》、《</w:t>
      </w:r>
      <w:r>
        <w:rPr>
          <w:rFonts w:hint="eastAsia" w:ascii="新宋体" w:hAnsi="新宋体" w:eastAsia="新宋体"/>
          <w:color w:val="auto"/>
          <w:sz w:val="28"/>
          <w:szCs w:val="28"/>
          <w:lang w:val="en-US" w:eastAsia="zh-CN"/>
        </w:rPr>
        <w:t>屯昌</w:t>
      </w:r>
      <w:r>
        <w:rPr>
          <w:rFonts w:hint="eastAsia" w:ascii="新宋体" w:hAnsi="新宋体" w:eastAsia="新宋体"/>
          <w:color w:val="auto"/>
          <w:sz w:val="28"/>
          <w:szCs w:val="28"/>
        </w:rPr>
        <w:t>农村产权交易服务平台网络竞价实施办法（试行）》及有关法律、法规的规定，制定本交易须知。</w:t>
      </w:r>
    </w:p>
    <w:p w14:paraId="5C1F74C4">
      <w:pPr>
        <w:spacing w:line="520" w:lineRule="exact"/>
        <w:ind w:firstLine="560" w:firstLineChars="200"/>
        <w:rPr>
          <w:rFonts w:ascii="新宋体" w:hAnsi="新宋体" w:eastAsia="新宋体" w:cs="Times New Roman"/>
          <w:b/>
          <w:bCs/>
          <w:color w:val="auto"/>
          <w:sz w:val="28"/>
          <w:szCs w:val="28"/>
        </w:rPr>
      </w:pPr>
      <w:r>
        <w:rPr>
          <w:rFonts w:hint="eastAsia" w:ascii="新宋体" w:hAnsi="新宋体" w:eastAsia="新宋体" w:cs="Times New Roman"/>
          <w:b w:val="0"/>
          <w:bCs w:val="0"/>
          <w:color w:val="auto"/>
          <w:sz w:val="28"/>
          <w:szCs w:val="28"/>
        </w:rPr>
        <w:t>1、</w:t>
      </w:r>
      <w:r>
        <w:rPr>
          <w:rFonts w:hint="eastAsia" w:ascii="新宋体" w:hAnsi="新宋体" w:eastAsia="新宋体" w:cs="Times New Roman"/>
          <w:b/>
          <w:bCs/>
          <w:color w:val="auto"/>
          <w:sz w:val="28"/>
          <w:szCs w:val="28"/>
        </w:rPr>
        <w:t>凡参加平台网络竞价的竞买方必须遵守本交易须知、平台有关交易规则以及有关法律法规。</w:t>
      </w:r>
    </w:p>
    <w:p w14:paraId="316194BF">
      <w:pPr>
        <w:spacing w:line="520" w:lineRule="exact"/>
        <w:ind w:left="0" w:leftChars="0" w:firstLine="560" w:firstLineChars="200"/>
        <w:jc w:val="left"/>
        <w:rPr>
          <w:rFonts w:ascii="新宋体" w:hAnsi="新宋体" w:eastAsia="新宋体" w:cs="Times New Roman"/>
          <w:b/>
          <w:bCs/>
          <w:color w:val="auto"/>
          <w:sz w:val="28"/>
          <w:szCs w:val="28"/>
        </w:rPr>
      </w:pPr>
      <w:r>
        <w:rPr>
          <w:rFonts w:hint="eastAsia" w:ascii="新宋体" w:hAnsi="新宋体" w:eastAsia="新宋体" w:cs="Times New Roman"/>
          <w:b w:val="0"/>
          <w:bCs w:val="0"/>
          <w:color w:val="auto"/>
          <w:sz w:val="28"/>
          <w:szCs w:val="28"/>
        </w:rPr>
        <w:t>2、</w:t>
      </w:r>
      <w:r>
        <w:rPr>
          <w:rFonts w:hint="eastAsia" w:ascii="新宋体" w:hAnsi="新宋体" w:eastAsia="新宋体" w:cs="Times New Roman"/>
          <w:b/>
          <w:bCs/>
          <w:color w:val="auto"/>
          <w:sz w:val="28"/>
          <w:szCs w:val="28"/>
          <w:lang w:val="en-US" w:eastAsia="zh-CN"/>
        </w:rPr>
        <w:t>屯昌</w:t>
      </w:r>
      <w:r>
        <w:rPr>
          <w:rFonts w:hint="eastAsia" w:ascii="新宋体" w:hAnsi="新宋体" w:eastAsia="新宋体" w:cs="Times New Roman"/>
          <w:b/>
          <w:bCs/>
          <w:color w:val="auto"/>
          <w:sz w:val="28"/>
          <w:szCs w:val="28"/>
        </w:rPr>
        <w:t>农村产权</w:t>
      </w:r>
      <w:r>
        <w:rPr>
          <w:rFonts w:hint="eastAsia" w:ascii="新宋体" w:hAnsi="新宋体" w:eastAsia="新宋体" w:cs="Times New Roman"/>
          <w:b/>
          <w:bCs/>
          <w:color w:val="auto"/>
          <w:sz w:val="28"/>
          <w:szCs w:val="28"/>
          <w:lang w:val="en-US" w:eastAsia="zh-CN"/>
        </w:rPr>
        <w:t>流转</w:t>
      </w:r>
      <w:r>
        <w:rPr>
          <w:rFonts w:hint="eastAsia" w:ascii="新宋体" w:hAnsi="新宋体" w:eastAsia="新宋体" w:cs="Times New Roman"/>
          <w:b/>
          <w:bCs/>
          <w:color w:val="auto"/>
          <w:sz w:val="28"/>
          <w:szCs w:val="28"/>
        </w:rPr>
        <w:t>交易服务平台</w:t>
      </w:r>
      <w:r>
        <w:rPr>
          <w:rFonts w:hint="eastAsia" w:ascii="新宋体" w:hAnsi="新宋体" w:eastAsia="新宋体" w:cs="Times New Roman"/>
          <w:b w:val="0"/>
          <w:bCs w:val="0"/>
          <w:color w:val="auto"/>
          <w:sz w:val="28"/>
          <w:szCs w:val="28"/>
        </w:rPr>
        <w:t>（</w:t>
      </w:r>
      <w:r>
        <w:rPr>
          <w:rFonts w:hint="eastAsia" w:ascii="新宋体" w:hAnsi="新宋体" w:eastAsia="新宋体" w:cs="Times New Roman"/>
          <w:b/>
          <w:bCs/>
          <w:color w:val="auto"/>
          <w:sz w:val="28"/>
          <w:szCs w:val="28"/>
        </w:rPr>
        <w:t>https://tunchang.nongjiao.com/</w:t>
      </w:r>
      <w:r>
        <w:rPr>
          <w:rFonts w:hint="eastAsia" w:ascii="新宋体" w:hAnsi="新宋体" w:eastAsia="新宋体" w:cs="Times New Roman"/>
          <w:b w:val="0"/>
          <w:bCs w:val="0"/>
          <w:color w:val="auto"/>
          <w:sz w:val="28"/>
          <w:szCs w:val="28"/>
        </w:rPr>
        <w:t>，以下简称“平台”）为指定的交易平台，竞买方应通过平台参与标的竞拍活动。</w:t>
      </w:r>
    </w:p>
    <w:p w14:paraId="03D24FA4">
      <w:pPr>
        <w:spacing w:line="520" w:lineRule="exact"/>
        <w:ind w:firstLine="560" w:firstLineChars="200"/>
        <w:rPr>
          <w:rFonts w:ascii="新宋体" w:hAnsi="新宋体" w:eastAsia="新宋体" w:cs="Times New Roman"/>
          <w:color w:val="auto"/>
          <w:sz w:val="28"/>
          <w:szCs w:val="28"/>
        </w:rPr>
      </w:pPr>
      <w:r>
        <w:rPr>
          <w:rFonts w:hint="eastAsia" w:ascii="新宋体" w:hAnsi="新宋体" w:eastAsia="新宋体" w:cs="Times New Roman"/>
          <w:color w:val="auto"/>
          <w:sz w:val="28"/>
          <w:szCs w:val="28"/>
        </w:rPr>
        <w:t>3、</w:t>
      </w:r>
      <w:r>
        <w:rPr>
          <w:rFonts w:hint="eastAsia" w:ascii="新宋体" w:hAnsi="新宋体" w:eastAsia="新宋体" w:cs="Times New Roman"/>
          <w:b/>
          <w:bCs/>
          <w:color w:val="auto"/>
          <w:sz w:val="28"/>
          <w:szCs w:val="28"/>
        </w:rPr>
        <w:t>项目公告披露的标的信息均由出租（转让）方提供，竞买申请方在提交竞买报名之前，应对所竞买的项目标的有关情况及瑕疵已做了全面的了解，竞买方如对交易须知、交易规则、交易公告等交易文件有疑问的，可向平台运营工作人员咨询。</w:t>
      </w:r>
    </w:p>
    <w:p w14:paraId="6B25D737">
      <w:pPr>
        <w:spacing w:line="520" w:lineRule="exact"/>
        <w:ind w:firstLine="560" w:firstLineChars="200"/>
        <w:rPr>
          <w:rFonts w:hint="eastAsia" w:ascii="新宋体" w:hAnsi="新宋体" w:eastAsia="新宋体" w:cs="Times New Roman"/>
          <w:color w:val="auto"/>
          <w:sz w:val="28"/>
          <w:szCs w:val="28"/>
        </w:rPr>
      </w:pPr>
      <w:r>
        <w:rPr>
          <w:rFonts w:hint="eastAsia" w:ascii="新宋体" w:hAnsi="新宋体" w:eastAsia="新宋体" w:cs="Times New Roman"/>
          <w:color w:val="auto"/>
          <w:sz w:val="28"/>
          <w:szCs w:val="28"/>
        </w:rPr>
        <w:t>4、竞买申请方可通过平台图片、文字描述、附件材料或按照交易公告指定的时间进行现场踏勘了解标的，对标的现状有异议的，应在提交竞买报名前提出书面意见。</w:t>
      </w:r>
    </w:p>
    <w:p w14:paraId="63CAC3F9">
      <w:pPr>
        <w:spacing w:line="520" w:lineRule="exact"/>
        <w:ind w:firstLine="560" w:firstLineChars="200"/>
        <w:rPr>
          <w:rFonts w:hint="eastAsia" w:ascii="新宋体" w:hAnsi="新宋体" w:eastAsia="新宋体" w:cs="Times New Roman"/>
          <w:b/>
          <w:bCs/>
          <w:color w:val="auto"/>
          <w:sz w:val="28"/>
          <w:szCs w:val="28"/>
          <w:lang w:eastAsia="zh-CN"/>
        </w:rPr>
      </w:pPr>
      <w:r>
        <w:rPr>
          <w:rFonts w:hint="eastAsia" w:ascii="新宋体" w:hAnsi="新宋体" w:eastAsia="新宋体" w:cs="Times New Roman"/>
          <w:color w:val="auto"/>
          <w:sz w:val="28"/>
          <w:szCs w:val="28"/>
        </w:rPr>
        <w:t>5、</w:t>
      </w:r>
      <w:r>
        <w:rPr>
          <w:rFonts w:hint="eastAsia" w:ascii="新宋体" w:hAnsi="新宋体" w:eastAsia="新宋体" w:cs="Times New Roman"/>
          <w:b/>
          <w:bCs/>
          <w:color w:val="auto"/>
          <w:sz w:val="28"/>
          <w:szCs w:val="28"/>
        </w:rPr>
        <w:t>竞买申请方一旦提交竞买报名，即视为其已完全了解标的物的相关情况、认可标的交易公告及附件的全部内容、对标的现状无异议、同意遵守平台有关交易规则和交易须知</w:t>
      </w:r>
      <w:r>
        <w:rPr>
          <w:rFonts w:hint="eastAsia" w:ascii="新宋体" w:hAnsi="新宋体" w:eastAsia="新宋体" w:cs="Times New Roman"/>
          <w:b/>
          <w:bCs/>
          <w:color w:val="auto"/>
          <w:sz w:val="28"/>
          <w:szCs w:val="28"/>
          <w:lang w:eastAsia="zh-CN"/>
        </w:rPr>
        <w:t>，</w:t>
      </w:r>
      <w:r>
        <w:rPr>
          <w:rFonts w:hint="eastAsia" w:ascii="新宋体" w:hAnsi="新宋体" w:eastAsia="新宋体" w:cs="Times New Roman"/>
          <w:b/>
          <w:bCs/>
          <w:color w:val="auto"/>
          <w:sz w:val="28"/>
          <w:szCs w:val="28"/>
        </w:rPr>
        <w:t>对竞价成功后的《标的竞得书》及合同的签署均无异议。</w:t>
      </w:r>
    </w:p>
    <w:p w14:paraId="3AD576C8">
      <w:pPr>
        <w:numPr>
          <w:ilvl w:val="0"/>
          <w:numId w:val="1"/>
        </w:numPr>
        <w:spacing w:line="520" w:lineRule="exact"/>
      </w:pPr>
      <w:r>
        <w:rPr>
          <w:rFonts w:hint="eastAsia" w:ascii="新宋体" w:hAnsi="新宋体" w:eastAsia="新宋体" w:cs="Times New Roman"/>
          <w:b w:val="0"/>
          <w:bCs w:val="0"/>
          <w:color w:val="auto"/>
          <w:sz w:val="28"/>
          <w:szCs w:val="28"/>
        </w:rPr>
        <w:t>竞买申请方应当于</w:t>
      </w:r>
      <w:r>
        <w:rPr>
          <w:rFonts w:hint="eastAsia" w:ascii="新宋体" w:hAnsi="新宋体" w:eastAsia="新宋体" w:cs="Times New Roman"/>
          <w:b w:val="0"/>
          <w:bCs w:val="0"/>
          <w:color w:val="auto"/>
          <w:sz w:val="28"/>
          <w:szCs w:val="28"/>
          <w:u w:val="single"/>
          <w:lang w:val="en-US" w:eastAsia="zh-CN"/>
        </w:rPr>
        <w:t>2026/11/10 16:00:00</w:t>
      </w:r>
      <w:r>
        <w:rPr>
          <w:rFonts w:hint="eastAsia" w:ascii="新宋体" w:hAnsi="新宋体" w:eastAsia="新宋体" w:cs="Times New Roman"/>
          <w:b w:val="0"/>
          <w:bCs w:val="0"/>
          <w:color w:val="auto"/>
          <w:sz w:val="28"/>
          <w:szCs w:val="28"/>
        </w:rPr>
        <w:t>前签署并向平台提交本次网络竞价</w:t>
      </w:r>
      <w:r>
        <w:rPr>
          <w:rFonts w:hint="eastAsia" w:ascii="新宋体" w:hAnsi="新宋体" w:eastAsia="新宋体" w:cs="Times New Roman"/>
          <w:b/>
          <w:bCs/>
          <w:color w:val="auto"/>
          <w:sz w:val="28"/>
          <w:szCs w:val="28"/>
        </w:rPr>
        <w:t>《网络竞价须知》《网络竞价承诺函》</w:t>
      </w:r>
      <w:r>
        <w:rPr>
          <w:rFonts w:hint="eastAsia" w:ascii="新宋体" w:hAnsi="新宋体" w:eastAsia="新宋体" w:cs="Times New Roman"/>
          <w:b w:val="0"/>
          <w:bCs w:val="0"/>
          <w:color w:val="auto"/>
          <w:sz w:val="28"/>
          <w:szCs w:val="28"/>
        </w:rPr>
        <w:t>等竞价文件，</w:t>
      </w:r>
      <w:r>
        <w:rPr>
          <w:rFonts w:hint="eastAsia" w:ascii="新宋体" w:hAnsi="新宋体" w:eastAsia="新宋体" w:cs="Times New Roman"/>
          <w:color w:val="auto"/>
          <w:sz w:val="28"/>
          <w:szCs w:val="28"/>
        </w:rPr>
        <w:t>平台审核通过后，交纳交易保证金（交易保证金金额一般为意向标的物起拍价</w:t>
      </w:r>
      <w:r>
        <w:rPr>
          <w:rFonts w:hint="eastAsia" w:ascii="新宋体" w:hAnsi="新宋体" w:eastAsia="新宋体" w:cs="Times New Roman"/>
          <w:color w:val="auto"/>
          <w:sz w:val="28"/>
          <w:szCs w:val="28"/>
          <w:lang w:val="en-US" w:eastAsia="zh-CN"/>
        </w:rPr>
        <w:t>的</w:t>
      </w:r>
      <w:r>
        <w:rPr>
          <w:rFonts w:hint="eastAsia" w:ascii="新宋体" w:hAnsi="新宋体" w:eastAsia="新宋体" w:cs="Times New Roman"/>
          <w:color w:val="auto"/>
          <w:sz w:val="28"/>
          <w:szCs w:val="28"/>
        </w:rPr>
        <w:t>20%</w:t>
      </w:r>
      <w:r>
        <w:rPr>
          <w:rFonts w:hint="eastAsia" w:ascii="新宋体" w:hAnsi="新宋体" w:eastAsia="新宋体" w:cs="Times New Roman"/>
          <w:color w:val="auto"/>
          <w:sz w:val="28"/>
          <w:szCs w:val="28"/>
          <w:lang w:eastAsia="zh-CN"/>
        </w:rPr>
        <w:t>，</w:t>
      </w:r>
      <w:r>
        <w:rPr>
          <w:rFonts w:hint="eastAsia" w:ascii="新宋体" w:hAnsi="新宋体" w:eastAsia="新宋体" w:cs="Times New Roman"/>
          <w:color w:val="auto"/>
          <w:sz w:val="28"/>
          <w:szCs w:val="28"/>
          <w:lang w:val="en-US" w:eastAsia="zh-CN"/>
        </w:rPr>
        <w:t>以平台公示为准</w:t>
      </w:r>
      <w:r>
        <w:rPr>
          <w:rFonts w:hint="eastAsia" w:ascii="新宋体" w:hAnsi="新宋体" w:eastAsia="新宋体" w:cs="Times New Roman"/>
          <w:color w:val="auto"/>
          <w:sz w:val="28"/>
          <w:szCs w:val="28"/>
        </w:rPr>
        <w:t>），</w:t>
      </w:r>
      <w:r>
        <w:rPr>
          <w:rFonts w:hint="eastAsia" w:ascii="新宋体" w:hAnsi="新宋体" w:eastAsia="新宋体" w:cs="Times New Roman"/>
          <w:b w:val="0"/>
          <w:bCs w:val="0"/>
          <w:color w:val="auto"/>
          <w:sz w:val="28"/>
          <w:szCs w:val="28"/>
        </w:rPr>
        <w:t>竞买申请方</w:t>
      </w:r>
      <w:r>
        <w:rPr>
          <w:rFonts w:hint="eastAsia" w:ascii="新宋体" w:hAnsi="新宋体" w:eastAsia="新宋体" w:cs="Times New Roman"/>
          <w:b/>
          <w:bCs/>
          <w:color w:val="auto"/>
          <w:sz w:val="28"/>
          <w:szCs w:val="28"/>
        </w:rPr>
        <w:t>必须用本人的银行账户（单位用户须用本单位公户）</w:t>
      </w:r>
      <w:r>
        <w:rPr>
          <w:rFonts w:hint="eastAsia" w:ascii="新宋体" w:hAnsi="新宋体" w:eastAsia="新宋体" w:cs="Times New Roman"/>
          <w:b w:val="0"/>
          <w:bCs w:val="0"/>
          <w:color w:val="auto"/>
          <w:sz w:val="28"/>
          <w:szCs w:val="28"/>
        </w:rPr>
        <w:t>通过网银、手机银行、柜台转账等方式</w:t>
      </w:r>
      <w:r>
        <w:rPr>
          <w:rFonts w:hint="eastAsia" w:ascii="新宋体" w:hAnsi="新宋体" w:eastAsia="新宋体" w:cs="Times New Roman"/>
          <w:b w:val="0"/>
          <w:bCs w:val="0"/>
          <w:color w:val="auto"/>
          <w:sz w:val="28"/>
          <w:szCs w:val="28"/>
          <w:lang w:val="en-US" w:eastAsia="zh-CN"/>
        </w:rPr>
        <w:t>将</w:t>
      </w:r>
      <w:r>
        <w:rPr>
          <w:rFonts w:hint="eastAsia" w:ascii="新宋体" w:hAnsi="新宋体" w:eastAsia="新宋体" w:cs="Times New Roman"/>
          <w:b w:val="0"/>
          <w:bCs w:val="0"/>
          <w:color w:val="auto"/>
          <w:sz w:val="28"/>
          <w:szCs w:val="28"/>
        </w:rPr>
        <w:t>交易保证金款项存入平台交易保证金结算账户，方</w:t>
      </w:r>
      <w:r>
        <w:rPr>
          <w:rFonts w:hint="eastAsia" w:ascii="新宋体" w:hAnsi="新宋体" w:eastAsia="新宋体" w:cs="Times New Roman"/>
          <w:b w:val="0"/>
          <w:bCs w:val="0"/>
          <w:color w:val="auto"/>
          <w:sz w:val="28"/>
          <w:szCs w:val="28"/>
          <w:lang w:val="en-US" w:eastAsia="zh-CN"/>
        </w:rPr>
        <w:t>可</w:t>
      </w:r>
      <w:r>
        <w:rPr>
          <w:rFonts w:hint="eastAsia" w:ascii="新宋体" w:hAnsi="新宋体" w:eastAsia="新宋体" w:cs="Times New Roman"/>
          <w:b w:val="0"/>
          <w:bCs w:val="0"/>
          <w:color w:val="auto"/>
          <w:sz w:val="28"/>
          <w:szCs w:val="28"/>
        </w:rPr>
        <w:t>取得竞拍资格。</w:t>
      </w:r>
    </w:p>
    <w:tbl>
      <w:tblPr>
        <w:tblStyle w:val="12"/>
        <w:tblW w:w="9016" w:type="dxa"/>
        <w:jc w:val="center"/>
        <w:tblLayout w:type="fixed"/>
        <w:tblCellMar>
          <w:top w:w="0" w:type="dxa"/>
          <w:left w:w="108" w:type="dxa"/>
          <w:bottom w:w="0" w:type="dxa"/>
          <w:right w:w="108" w:type="dxa"/>
        </w:tblCellMar>
      </w:tblPr>
      <w:tblGrid>
        <w:gridCol w:w="1628"/>
        <w:gridCol w:w="7388"/>
      </w:tblGrid>
      <w:tr w14:paraId="6313BC34">
        <w:tblPrEx>
          <w:tblCellMar>
            <w:top w:w="0" w:type="dxa"/>
            <w:left w:w="108" w:type="dxa"/>
            <w:bottom w:w="0" w:type="dxa"/>
            <w:right w:w="108" w:type="dxa"/>
          </w:tblCellMar>
        </w:tblPrEx>
        <w:trPr>
          <w:trHeight w:val="600" w:hRule="atLeast"/>
          <w:jc w:val="center"/>
        </w:trPr>
        <w:tc>
          <w:tcPr>
            <w:tcW w:w="901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944F87B">
            <w:pPr>
              <w:jc w:val="center"/>
              <w:rPr>
                <w:rFonts w:hint="eastAsia" w:ascii="新宋体" w:hAnsi="新宋体" w:eastAsia="新宋体" w:cs="新宋体"/>
                <w:b w:val="0"/>
                <w:bCs w:val="0"/>
                <w:color w:val="auto"/>
                <w:sz w:val="28"/>
                <w:szCs w:val="28"/>
                <w:lang w:val="en-US" w:eastAsia="zh-CN"/>
              </w:rPr>
            </w:pPr>
            <w:r>
              <w:rPr>
                <w:rFonts w:hint="eastAsia" w:ascii="新宋体" w:hAnsi="新宋体" w:eastAsia="新宋体" w:cs="新宋体"/>
                <w:b/>
                <w:bCs/>
                <w:color w:val="auto"/>
                <w:sz w:val="28"/>
                <w:szCs w:val="28"/>
              </w:rPr>
              <w:t>交易保证金收款账户</w:t>
            </w:r>
          </w:p>
        </w:tc>
      </w:tr>
      <w:tr w14:paraId="676003B4">
        <w:tblPrEx>
          <w:tblCellMar>
            <w:top w:w="0" w:type="dxa"/>
            <w:left w:w="108" w:type="dxa"/>
            <w:bottom w:w="0" w:type="dxa"/>
            <w:right w:w="108" w:type="dxa"/>
          </w:tblCellMar>
        </w:tblPrEx>
        <w:trPr>
          <w:trHeight w:val="600" w:hRule="atLeast"/>
          <w:jc w:val="center"/>
        </w:trPr>
        <w:tc>
          <w:tcPr>
            <w:tcW w:w="16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43F2DF">
            <w:pPr>
              <w:jc w:val="center"/>
              <w:rPr>
                <w:rFonts w:hint="eastAsia" w:ascii="新宋体" w:hAnsi="新宋体" w:eastAsia="新宋体" w:cs="新宋体"/>
                <w:b/>
                <w:bCs/>
                <w:color w:val="auto"/>
                <w:sz w:val="28"/>
                <w:szCs w:val="28"/>
              </w:rPr>
            </w:pPr>
            <w:r>
              <w:rPr>
                <w:rFonts w:hint="eastAsia" w:ascii="新宋体" w:hAnsi="新宋体" w:eastAsia="新宋体" w:cs="新宋体"/>
                <w:b/>
                <w:bCs/>
                <w:color w:val="auto"/>
                <w:sz w:val="28"/>
                <w:szCs w:val="28"/>
              </w:rPr>
              <w:t>单位名称</w:t>
            </w:r>
          </w:p>
        </w:tc>
        <w:tc>
          <w:tcPr>
            <w:tcW w:w="73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434F10">
            <w:pPr>
              <w:jc w:val="center"/>
              <w:rPr>
                <w:rFonts w:hint="eastAsia" w:ascii="新宋体" w:hAnsi="新宋体" w:eastAsia="新宋体" w:cs="新宋体"/>
                <w:b w:val="0"/>
                <w:bCs w:val="0"/>
                <w:color w:val="auto"/>
                <w:sz w:val="28"/>
                <w:szCs w:val="28"/>
              </w:rPr>
            </w:pPr>
            <w:r>
              <w:rPr>
                <w:rFonts w:hint="eastAsia" w:ascii="新宋体" w:hAnsi="新宋体" w:eastAsia="新宋体" w:cs="新宋体"/>
                <w:b w:val="0"/>
                <w:bCs w:val="0"/>
                <w:color w:val="auto"/>
                <w:sz w:val="28"/>
                <w:szCs w:val="28"/>
                <w:lang w:val="en-US" w:eastAsia="zh-CN"/>
              </w:rPr>
              <w:t>屯昌县农村产权交易中心</w:t>
            </w:r>
            <w:r>
              <w:rPr>
                <w:rFonts w:hint="eastAsia" w:ascii="新宋体" w:hAnsi="新宋体" w:eastAsia="新宋体" w:cs="新宋体"/>
                <w:b w:val="0"/>
                <w:bCs w:val="0"/>
                <w:color w:val="auto"/>
                <w:sz w:val="28"/>
                <w:szCs w:val="28"/>
              </w:rPr>
              <w:t>有限公司</w:t>
            </w:r>
          </w:p>
        </w:tc>
      </w:tr>
      <w:tr w14:paraId="2C2EE164">
        <w:tblPrEx>
          <w:tblCellMar>
            <w:top w:w="0" w:type="dxa"/>
            <w:left w:w="108" w:type="dxa"/>
            <w:bottom w:w="0" w:type="dxa"/>
            <w:right w:w="108" w:type="dxa"/>
          </w:tblCellMar>
        </w:tblPrEx>
        <w:trPr>
          <w:trHeight w:val="578" w:hRule="atLeast"/>
          <w:jc w:val="center"/>
        </w:trPr>
        <w:tc>
          <w:tcPr>
            <w:tcW w:w="16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34E56C">
            <w:pPr>
              <w:jc w:val="center"/>
              <w:rPr>
                <w:rFonts w:hint="eastAsia" w:ascii="新宋体" w:hAnsi="新宋体" w:eastAsia="新宋体" w:cs="新宋体"/>
                <w:b/>
                <w:bCs/>
                <w:color w:val="auto"/>
                <w:sz w:val="28"/>
                <w:szCs w:val="28"/>
              </w:rPr>
            </w:pPr>
            <w:r>
              <w:rPr>
                <w:rFonts w:hint="eastAsia" w:ascii="新宋体" w:hAnsi="新宋体" w:eastAsia="新宋体" w:cs="新宋体"/>
                <w:b/>
                <w:bCs/>
                <w:color w:val="auto"/>
                <w:sz w:val="28"/>
                <w:szCs w:val="28"/>
              </w:rPr>
              <w:t>开户行</w:t>
            </w:r>
          </w:p>
        </w:tc>
        <w:tc>
          <w:tcPr>
            <w:tcW w:w="73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E9226D">
            <w:pPr>
              <w:jc w:val="center"/>
              <w:rPr>
                <w:rFonts w:hint="eastAsia" w:ascii="新宋体" w:hAnsi="新宋体" w:eastAsia="新宋体" w:cs="新宋体"/>
                <w:b w:val="0"/>
                <w:bCs w:val="0"/>
                <w:color w:val="auto"/>
                <w:sz w:val="28"/>
                <w:szCs w:val="28"/>
              </w:rPr>
            </w:pPr>
            <w:r>
              <w:rPr>
                <w:rFonts w:hint="eastAsia" w:ascii="新宋体" w:hAnsi="新宋体" w:eastAsia="新宋体" w:cs="新宋体"/>
                <w:b w:val="0"/>
                <w:bCs w:val="0"/>
                <w:color w:val="auto"/>
                <w:sz w:val="28"/>
                <w:szCs w:val="28"/>
                <w:lang w:val="en-US" w:eastAsia="zh-CN"/>
              </w:rPr>
              <w:t>海南农商行屯昌槟榔三路支行</w:t>
            </w:r>
          </w:p>
        </w:tc>
      </w:tr>
      <w:tr w14:paraId="63842A5A">
        <w:tblPrEx>
          <w:tblCellMar>
            <w:top w:w="0" w:type="dxa"/>
            <w:left w:w="108" w:type="dxa"/>
            <w:bottom w:w="0" w:type="dxa"/>
            <w:right w:w="108" w:type="dxa"/>
          </w:tblCellMar>
        </w:tblPrEx>
        <w:trPr>
          <w:trHeight w:val="586" w:hRule="atLeast"/>
          <w:jc w:val="center"/>
        </w:trPr>
        <w:tc>
          <w:tcPr>
            <w:tcW w:w="16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6E026C">
            <w:pPr>
              <w:jc w:val="center"/>
              <w:rPr>
                <w:rFonts w:hint="eastAsia" w:ascii="新宋体" w:hAnsi="新宋体" w:eastAsia="新宋体" w:cs="新宋体"/>
                <w:b/>
                <w:bCs/>
                <w:color w:val="auto"/>
                <w:sz w:val="28"/>
                <w:szCs w:val="28"/>
              </w:rPr>
            </w:pPr>
            <w:r>
              <w:rPr>
                <w:rFonts w:hint="eastAsia" w:ascii="新宋体" w:hAnsi="新宋体" w:eastAsia="新宋体" w:cs="新宋体"/>
                <w:b/>
                <w:bCs/>
                <w:color w:val="auto"/>
                <w:sz w:val="28"/>
                <w:szCs w:val="28"/>
              </w:rPr>
              <w:t>账号</w:t>
            </w:r>
          </w:p>
        </w:tc>
        <w:tc>
          <w:tcPr>
            <w:tcW w:w="73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E4533A">
            <w:pPr>
              <w:jc w:val="center"/>
              <w:rPr>
                <w:rFonts w:hint="default"/>
                <w:lang w:val="en-US"/>
              </w:rPr>
            </w:pPr>
            <w:r>
              <w:rPr>
                <w:rFonts w:hint="eastAsia" w:ascii="新宋体" w:hAnsi="新宋体" w:eastAsia="新宋体" w:cs="新宋体"/>
                <w:b w:val="0"/>
                <w:bCs w:val="0"/>
                <w:color w:val="auto"/>
                <w:sz w:val="28"/>
                <w:szCs w:val="28"/>
                <w:lang w:val="en-US" w:eastAsia="zh-CN"/>
              </w:rPr>
              <w:t>1021644500000295</w:t>
            </w:r>
          </w:p>
        </w:tc>
      </w:tr>
    </w:tbl>
    <w:p w14:paraId="2D618B23">
      <w:pPr>
        <w:spacing w:line="520" w:lineRule="exact"/>
        <w:ind w:firstLine="560" w:firstLineChars="200"/>
        <w:rPr>
          <w:rFonts w:hint="eastAsia" w:ascii="新宋体" w:hAnsi="新宋体" w:eastAsia="新宋体" w:cs="Times New Roman"/>
          <w:color w:val="auto"/>
          <w:sz w:val="28"/>
          <w:szCs w:val="28"/>
        </w:rPr>
      </w:pPr>
    </w:p>
    <w:p w14:paraId="3B55DEF3">
      <w:pPr>
        <w:spacing w:line="520" w:lineRule="exact"/>
        <w:ind w:firstLine="560" w:firstLineChars="200"/>
        <w:rPr>
          <w:rFonts w:ascii="新宋体" w:hAnsi="新宋体" w:eastAsia="新宋体" w:cs="Times New Roman"/>
          <w:color w:val="auto"/>
          <w:sz w:val="28"/>
          <w:szCs w:val="28"/>
        </w:rPr>
      </w:pPr>
      <w:r>
        <w:rPr>
          <w:rFonts w:hint="eastAsia" w:ascii="新宋体" w:hAnsi="新宋体" w:eastAsia="新宋体" w:cs="Times New Roman"/>
          <w:color w:val="auto"/>
          <w:sz w:val="28"/>
          <w:szCs w:val="28"/>
        </w:rPr>
        <w:t>1、竞买申请方注册平台账号和提交实名认证材料时，必须按照平台要求提供及时、详尽、准确、真实的</w:t>
      </w:r>
      <w:r>
        <w:rPr>
          <w:rFonts w:hint="eastAsia" w:ascii="新宋体" w:hAnsi="新宋体" w:eastAsia="新宋体" w:cs="Times New Roman"/>
          <w:color w:val="auto"/>
          <w:sz w:val="28"/>
          <w:szCs w:val="28"/>
          <w:lang w:val="en-US" w:eastAsia="zh-CN"/>
        </w:rPr>
        <w:t>个人或单位</w:t>
      </w:r>
      <w:r>
        <w:rPr>
          <w:rFonts w:hint="eastAsia" w:ascii="新宋体" w:hAnsi="新宋体" w:eastAsia="新宋体" w:cs="Times New Roman"/>
          <w:color w:val="auto"/>
          <w:sz w:val="28"/>
          <w:szCs w:val="28"/>
        </w:rPr>
        <w:t>注册资料，注册后如信息资料有任何变动，必须及时向平台提出更新申请，否则由此引起的经济及法律责任均由竞买方自行承担。</w:t>
      </w:r>
    </w:p>
    <w:p w14:paraId="6B1ECA4D">
      <w:pPr>
        <w:spacing w:line="520" w:lineRule="exact"/>
        <w:ind w:firstLine="560" w:firstLineChars="200"/>
        <w:rPr>
          <w:rFonts w:ascii="新宋体" w:hAnsi="新宋体" w:eastAsia="新宋体" w:cs="Times New Roman"/>
          <w:color w:val="auto"/>
          <w:sz w:val="28"/>
          <w:szCs w:val="28"/>
        </w:rPr>
      </w:pPr>
      <w:r>
        <w:rPr>
          <w:rFonts w:hint="eastAsia" w:ascii="新宋体" w:hAnsi="新宋体" w:eastAsia="新宋体" w:cs="Times New Roman"/>
          <w:color w:val="auto"/>
          <w:sz w:val="28"/>
          <w:szCs w:val="28"/>
        </w:rPr>
        <w:t>2、竞买方对其平台账号安全负责。任何使用竞买方用户名和密码登录的用户，在系统的一切行为均视为该竞买方本人的行为，由竞买方承担一切后果，平台不承担任何责任。通过公共环境参与网络竞价活动的竞买方应注意账号安全，离开终端时应及时退出平台系统。</w:t>
      </w:r>
    </w:p>
    <w:p w14:paraId="5D5E1DCB">
      <w:pPr>
        <w:spacing w:line="520" w:lineRule="exact"/>
        <w:rPr>
          <w:rFonts w:hint="eastAsia" w:ascii="新宋体" w:hAnsi="新宋体" w:eastAsia="新宋体" w:cs="Times New Roman"/>
          <w:color w:val="auto"/>
          <w:sz w:val="28"/>
          <w:szCs w:val="28"/>
        </w:rPr>
      </w:pPr>
      <w:r>
        <w:rPr>
          <w:rFonts w:hint="eastAsia" w:ascii="新宋体" w:hAnsi="新宋体" w:eastAsia="新宋体" w:cs="Times New Roman"/>
          <w:color w:val="auto"/>
          <w:sz w:val="28"/>
          <w:szCs w:val="28"/>
        </w:rPr>
        <w:t>三、竞买方办理竞拍登记手续和交易保证金交纳，经</w:t>
      </w:r>
      <w:r>
        <w:rPr>
          <w:rFonts w:hint="eastAsia" w:ascii="新宋体" w:hAnsi="新宋体" w:eastAsia="新宋体" w:cs="Times New Roman"/>
          <w:color w:val="auto"/>
          <w:sz w:val="28"/>
          <w:szCs w:val="28"/>
          <w:lang w:val="en-US" w:eastAsia="zh-CN"/>
        </w:rPr>
        <w:t>平台审核</w:t>
      </w:r>
      <w:r>
        <w:rPr>
          <w:rFonts w:hint="eastAsia" w:ascii="新宋体" w:hAnsi="新宋体" w:eastAsia="新宋体" w:cs="Times New Roman"/>
          <w:color w:val="auto"/>
          <w:sz w:val="28"/>
          <w:szCs w:val="28"/>
        </w:rPr>
        <w:t>确认后，</w:t>
      </w:r>
      <w:r>
        <w:rPr>
          <w:rFonts w:hint="eastAsia" w:ascii="新宋体" w:hAnsi="新宋体" w:eastAsia="新宋体" w:cs="Times New Roman"/>
          <w:color w:val="auto"/>
          <w:sz w:val="28"/>
          <w:szCs w:val="28"/>
          <w:lang w:val="en-US" w:eastAsia="zh-CN"/>
        </w:rPr>
        <w:t>即可</w:t>
      </w:r>
      <w:r>
        <w:rPr>
          <w:rFonts w:hint="eastAsia" w:ascii="新宋体" w:hAnsi="新宋体" w:eastAsia="新宋体" w:cs="Times New Roman"/>
          <w:color w:val="auto"/>
          <w:sz w:val="28"/>
          <w:szCs w:val="28"/>
        </w:rPr>
        <w:t>于</w:t>
      </w:r>
      <w:r>
        <w:rPr>
          <w:rFonts w:hint="eastAsia" w:ascii="新宋体" w:hAnsi="新宋体" w:eastAsia="新宋体" w:cs="Times New Roman"/>
          <w:color w:val="auto"/>
          <w:sz w:val="28"/>
          <w:szCs w:val="28"/>
          <w:lang w:val="en-US" w:eastAsia="zh-CN"/>
        </w:rPr>
        <w:t>标的</w:t>
      </w:r>
      <w:r>
        <w:rPr>
          <w:rFonts w:hint="eastAsia" w:ascii="新宋体" w:hAnsi="新宋体" w:eastAsia="新宋体" w:cs="Times New Roman"/>
          <w:color w:val="auto"/>
          <w:sz w:val="28"/>
          <w:szCs w:val="28"/>
        </w:rPr>
        <w:t>竞价活动</w:t>
      </w:r>
      <w:r>
        <w:rPr>
          <w:rFonts w:hint="eastAsia" w:ascii="新宋体" w:hAnsi="新宋体" w:eastAsia="新宋体" w:cs="Times New Roman"/>
          <w:color w:val="auto"/>
          <w:sz w:val="28"/>
          <w:szCs w:val="28"/>
          <w:lang w:val="en-US" w:eastAsia="zh-CN"/>
        </w:rPr>
        <w:t>期间</w:t>
      </w:r>
      <w:r>
        <w:rPr>
          <w:rFonts w:hint="eastAsia" w:ascii="新宋体" w:hAnsi="新宋体" w:eastAsia="新宋体" w:cs="Times New Roman"/>
          <w:color w:val="auto"/>
          <w:sz w:val="28"/>
          <w:szCs w:val="28"/>
        </w:rPr>
        <w:t>，登录平台网站</w:t>
      </w:r>
      <w:r>
        <w:rPr>
          <w:rFonts w:hint="eastAsia" w:ascii="新宋体" w:hAnsi="新宋体" w:eastAsia="新宋体" w:cs="Times New Roman"/>
          <w:b w:val="0"/>
          <w:bCs w:val="0"/>
          <w:color w:val="auto"/>
          <w:sz w:val="28"/>
          <w:szCs w:val="28"/>
          <w:lang w:val="en-US" w:eastAsia="zh-CN"/>
        </w:rPr>
        <w:t>进行交易</w:t>
      </w:r>
      <w:r>
        <w:rPr>
          <w:rFonts w:hint="eastAsia" w:ascii="新宋体" w:hAnsi="新宋体" w:eastAsia="新宋体" w:cs="Times New Roman"/>
          <w:color w:val="auto"/>
          <w:sz w:val="28"/>
          <w:szCs w:val="28"/>
        </w:rPr>
        <w:t>。</w:t>
      </w:r>
    </w:p>
    <w:p w14:paraId="461D73EC">
      <w:pPr>
        <w:spacing w:line="520" w:lineRule="exact"/>
        <w:rPr>
          <w:rFonts w:hint="eastAsia" w:ascii="新宋体" w:hAnsi="新宋体" w:eastAsia="新宋体" w:cs="Times New Roman"/>
          <w:b w:val="0"/>
          <w:bCs w:val="0"/>
          <w:color w:val="auto"/>
          <w:sz w:val="28"/>
          <w:szCs w:val="28"/>
        </w:rPr>
      </w:pPr>
      <w:r>
        <w:rPr>
          <w:rFonts w:hint="eastAsia" w:ascii="新宋体" w:hAnsi="新宋体" w:eastAsia="新宋体" w:cs="Times New Roman"/>
          <w:b w:val="0"/>
          <w:bCs w:val="0"/>
          <w:color w:val="auto"/>
          <w:sz w:val="28"/>
          <w:szCs w:val="28"/>
          <w:lang w:eastAsia="zh-CN"/>
        </w:rPr>
        <w:t>（</w:t>
      </w:r>
      <w:r>
        <w:rPr>
          <w:rFonts w:hint="eastAsia" w:ascii="新宋体" w:hAnsi="新宋体" w:eastAsia="新宋体" w:cs="Times New Roman"/>
          <w:b w:val="0"/>
          <w:bCs w:val="0"/>
          <w:color w:val="auto"/>
          <w:sz w:val="28"/>
          <w:szCs w:val="28"/>
        </w:rPr>
        <w:t>https://tunchang.nongjiao.com/</w:t>
      </w:r>
      <w:r>
        <w:rPr>
          <w:rFonts w:hint="eastAsia" w:ascii="新宋体" w:hAnsi="新宋体" w:eastAsia="新宋体" w:cs="Times New Roman"/>
          <w:b w:val="0"/>
          <w:bCs w:val="0"/>
          <w:color w:val="auto"/>
          <w:sz w:val="28"/>
          <w:szCs w:val="28"/>
          <w:lang w:eastAsia="zh-CN"/>
        </w:rPr>
        <w:t>）</w:t>
      </w:r>
    </w:p>
    <w:p w14:paraId="6E9D2A3F">
      <w:pPr>
        <w:spacing w:line="520" w:lineRule="exact"/>
        <w:ind w:firstLine="560" w:firstLineChars="200"/>
        <w:jc w:val="left"/>
        <w:rPr>
          <w:rFonts w:hint="eastAsia" w:ascii="新宋体" w:hAnsi="新宋体" w:eastAsia="新宋体" w:cs="Times New Roman"/>
          <w:color w:val="auto"/>
          <w:sz w:val="28"/>
          <w:szCs w:val="28"/>
        </w:rPr>
      </w:pPr>
      <w:r>
        <w:rPr>
          <w:rFonts w:hint="eastAsia" w:ascii="新宋体" w:hAnsi="新宋体" w:eastAsia="新宋体" w:cs="Times New Roman"/>
          <w:b w:val="0"/>
          <w:bCs w:val="0"/>
          <w:color w:val="auto"/>
          <w:sz w:val="28"/>
          <w:szCs w:val="28"/>
        </w:rPr>
        <w:t>1、本次网络竞价标的</w:t>
      </w:r>
      <w:r>
        <w:rPr>
          <w:rFonts w:hint="eastAsia" w:ascii="新宋体" w:hAnsi="新宋体" w:eastAsia="新宋体" w:cs="Times New Roman"/>
          <w:b w:val="0"/>
          <w:bCs w:val="0"/>
          <w:color w:val="auto"/>
          <w:sz w:val="28"/>
          <w:szCs w:val="28"/>
          <w:lang w:val="en-US" w:eastAsia="zh-CN"/>
        </w:rPr>
        <w:t>为:</w:t>
      </w:r>
      <w:r>
        <w:rPr>
          <w:rFonts w:hint="eastAsia" w:ascii="新宋体" w:hAnsi="新宋体" w:eastAsia="新宋体" w:cs="Times New Roman"/>
          <w:b w:val="0"/>
          <w:bCs w:val="0"/>
          <w:color w:val="auto"/>
          <w:sz w:val="28"/>
          <w:szCs w:val="28"/>
          <w:u w:val="single"/>
          <w:lang w:val="en-US" w:eastAsia="zh-CN"/>
        </w:rPr>
        <w:t>屯昌县屯城镇兴盛小区103号109.61㎡商铺出租</w:t>
      </w:r>
      <w:r>
        <w:rPr>
          <w:rFonts w:hint="eastAsia" w:ascii="新宋体" w:hAnsi="新宋体" w:eastAsia="新宋体" w:cs="Times New Roman"/>
          <w:b w:val="0"/>
          <w:bCs w:val="0"/>
          <w:color w:val="auto"/>
          <w:sz w:val="28"/>
          <w:szCs w:val="28"/>
          <w:lang w:val="en-US" w:eastAsia="zh-CN"/>
        </w:rPr>
        <w:t>项目；</w:t>
      </w:r>
      <w:r>
        <w:rPr>
          <w:rFonts w:hint="eastAsia" w:ascii="新宋体" w:hAnsi="新宋体" w:eastAsia="新宋体" w:cs="Times New Roman"/>
          <w:color w:val="auto"/>
          <w:sz w:val="28"/>
          <w:szCs w:val="28"/>
          <w:lang w:val="en-US" w:eastAsia="zh-CN"/>
        </w:rPr>
        <w:t>起拍价为人民币￥</w:t>
      </w:r>
      <w:r>
        <w:rPr>
          <w:rFonts w:hint="eastAsia" w:ascii="新宋体" w:hAnsi="新宋体" w:eastAsia="新宋体" w:cs="Times New Roman"/>
          <w:color w:val="auto"/>
          <w:sz w:val="28"/>
          <w:szCs w:val="28"/>
          <w:u w:val="single"/>
          <w:lang w:val="en-US" w:eastAsia="zh-CN"/>
        </w:rPr>
        <w:t>23676</w:t>
      </w:r>
      <w:r>
        <w:rPr>
          <w:rFonts w:hint="eastAsia" w:ascii="新宋体" w:hAnsi="新宋体" w:eastAsia="新宋体" w:cs="Times New Roman"/>
          <w:color w:val="auto"/>
          <w:sz w:val="28"/>
          <w:szCs w:val="28"/>
          <w:u w:val="none"/>
          <w:lang w:val="en-US" w:eastAsia="zh-CN"/>
        </w:rPr>
        <w:t>元/年。</w:t>
      </w:r>
    </w:p>
    <w:p w14:paraId="72973ED0">
      <w:pPr>
        <w:pStyle w:val="4"/>
        <w:keepNext/>
        <w:keepLines/>
        <w:pageBreakBefore w:val="0"/>
        <w:widowControl w:val="0"/>
        <w:numPr>
          <w:ilvl w:val="0"/>
          <w:numId w:val="2"/>
        </w:numPr>
        <w:kinsoku/>
        <w:wordWrap/>
        <w:overflowPunct/>
        <w:topLinePunct w:val="0"/>
        <w:autoSpaceDE/>
        <w:autoSpaceDN/>
        <w:bidi w:val="0"/>
        <w:adjustRightInd/>
        <w:snapToGrid/>
        <w:spacing w:line="500" w:lineRule="exact"/>
        <w:ind w:firstLine="560" w:firstLineChars="200"/>
        <w:textAlignment w:val="auto"/>
        <w:rPr>
          <w:rFonts w:hint="eastAsia" w:ascii="新宋体" w:hAnsi="新宋体" w:eastAsia="新宋体" w:cs="Times New Roman"/>
          <w:color w:val="auto"/>
          <w:sz w:val="28"/>
          <w:szCs w:val="28"/>
        </w:rPr>
      </w:pPr>
      <w:r>
        <w:rPr>
          <w:rFonts w:hint="eastAsia" w:ascii="新宋体" w:hAnsi="新宋体" w:eastAsia="新宋体" w:cs="Times New Roman"/>
          <w:b w:val="0"/>
          <w:bCs w:val="0"/>
          <w:color w:val="auto"/>
          <w:sz w:val="28"/>
          <w:szCs w:val="28"/>
        </w:rPr>
        <w:t>本次网络竞价采用竞价方式（</w:t>
      </w:r>
      <w:r>
        <w:rPr>
          <w:rFonts w:hint="eastAsia" w:ascii="宋体" w:hAnsi="Times New Roman"/>
          <w:b w:val="0"/>
          <w:bCs w:val="0"/>
          <w:color w:val="auto"/>
          <w:lang w:eastAsia="zh-CN"/>
        </w:rPr>
        <w:t>☑</w:t>
      </w:r>
      <w:r>
        <w:rPr>
          <w:rFonts w:hint="eastAsia" w:ascii="新宋体" w:hAnsi="新宋体" w:eastAsia="新宋体" w:cs="Times New Roman"/>
          <w:b w:val="0"/>
          <w:bCs w:val="0"/>
          <w:color w:val="auto"/>
          <w:sz w:val="28"/>
          <w:szCs w:val="28"/>
        </w:rPr>
        <w:t>阶梯竞价、</w:t>
      </w:r>
      <w:r>
        <w:rPr>
          <w:rFonts w:hint="eastAsia" w:ascii="宋体" w:hAnsi="Times New Roman"/>
          <w:b w:val="0"/>
          <w:bCs w:val="0"/>
          <w:color w:val="auto"/>
          <w:lang w:eastAsia="zh-CN"/>
        </w:rPr>
        <w:t>□</w:t>
      </w:r>
      <w:r>
        <w:rPr>
          <w:rFonts w:hint="eastAsia" w:ascii="新宋体" w:hAnsi="新宋体" w:eastAsia="新宋体" w:cs="Times New Roman"/>
          <w:b w:val="0"/>
          <w:bCs w:val="0"/>
          <w:color w:val="auto"/>
          <w:sz w:val="28"/>
          <w:szCs w:val="28"/>
        </w:rPr>
        <w:t>自由竞价）。</w:t>
      </w:r>
    </w:p>
    <w:p w14:paraId="79AB93D8">
      <w:pPr>
        <w:pStyle w:val="4"/>
        <w:keepNext/>
        <w:keepLines/>
        <w:pageBreakBefore w:val="0"/>
        <w:widowControl w:val="0"/>
        <w:numPr>
          <w:ilvl w:val="0"/>
          <w:numId w:val="2"/>
        </w:numPr>
        <w:kinsoku/>
        <w:wordWrap/>
        <w:overflowPunct/>
        <w:topLinePunct w:val="0"/>
        <w:autoSpaceDE/>
        <w:autoSpaceDN/>
        <w:bidi w:val="0"/>
        <w:adjustRightInd/>
        <w:snapToGrid/>
        <w:spacing w:line="500" w:lineRule="exact"/>
        <w:ind w:firstLine="560" w:firstLineChars="200"/>
        <w:textAlignment w:val="auto"/>
        <w:rPr>
          <w:rFonts w:ascii="新宋体" w:hAnsi="新宋体" w:eastAsia="新宋体" w:cs="Times New Roman"/>
          <w:b w:val="0"/>
          <w:bCs w:val="0"/>
          <w:color w:val="auto"/>
          <w:sz w:val="28"/>
          <w:szCs w:val="28"/>
        </w:rPr>
      </w:pPr>
      <w:r>
        <w:rPr>
          <w:rFonts w:hint="eastAsia" w:ascii="新宋体" w:hAnsi="新宋体" w:eastAsia="新宋体" w:cs="Times New Roman"/>
          <w:b w:val="0"/>
          <w:bCs w:val="0"/>
          <w:color w:val="auto"/>
          <w:sz w:val="28"/>
          <w:szCs w:val="28"/>
        </w:rPr>
        <w:t>竞买方接受出租（转让）方确定的交易条件，通过平台的网络竞价系统进行动态</w:t>
      </w:r>
      <w:r>
        <w:rPr>
          <w:rFonts w:hint="eastAsia" w:ascii="新宋体" w:hAnsi="新宋体" w:eastAsia="新宋体" w:cs="Times New Roman"/>
          <w:b w:val="0"/>
          <w:bCs w:val="0"/>
          <w:color w:val="FF0000"/>
          <w:sz w:val="28"/>
          <w:szCs w:val="28"/>
        </w:rPr>
        <w:t>递增（减）报价，将报价最高者确定为承租（受让）方的竞价方式（反向竞价以报价最低者确定为承租（受让）方）</w:t>
      </w:r>
      <w:r>
        <w:rPr>
          <w:rFonts w:hint="eastAsia" w:ascii="新宋体" w:hAnsi="新宋体" w:eastAsia="新宋体" w:cs="Times New Roman"/>
          <w:b w:val="0"/>
          <w:bCs w:val="0"/>
          <w:color w:val="auto"/>
          <w:sz w:val="28"/>
          <w:szCs w:val="28"/>
        </w:rPr>
        <w:t>。</w:t>
      </w:r>
    </w:p>
    <w:p w14:paraId="08C38E71">
      <w:pPr>
        <w:pStyle w:val="4"/>
        <w:spacing w:line="400" w:lineRule="exact"/>
        <w:ind w:left="559" w:leftChars="266"/>
        <w:rPr>
          <w:rFonts w:ascii="新宋体" w:hAnsi="新宋体" w:eastAsia="新宋体" w:cs="Times New Roman"/>
          <w:b w:val="0"/>
          <w:bCs w:val="0"/>
          <w:color w:val="auto"/>
          <w:sz w:val="28"/>
          <w:szCs w:val="28"/>
        </w:rPr>
      </w:pPr>
      <w:r>
        <w:rPr>
          <w:rFonts w:hint="eastAsia" w:ascii="新宋体" w:hAnsi="新宋体" w:eastAsia="新宋体" w:cs="Times New Roman"/>
          <w:b w:val="0"/>
          <w:bCs w:val="0"/>
          <w:color w:val="auto"/>
          <w:sz w:val="28"/>
          <w:szCs w:val="28"/>
        </w:rPr>
        <w:t>4、本次竞价</w:t>
      </w:r>
      <w:r>
        <w:rPr>
          <w:rFonts w:hint="eastAsia" w:ascii="新宋体" w:hAnsi="新宋体" w:eastAsia="新宋体" w:cs="Times New Roman"/>
          <w:b w:val="0"/>
          <w:bCs w:val="0"/>
          <w:color w:val="FF0000"/>
          <w:sz w:val="28"/>
          <w:szCs w:val="28"/>
        </w:rPr>
        <w:t>加（减）</w:t>
      </w:r>
      <w:r>
        <w:rPr>
          <w:rFonts w:hint="eastAsia" w:ascii="新宋体" w:hAnsi="新宋体" w:eastAsia="新宋体" w:cs="Times New Roman"/>
          <w:b w:val="0"/>
          <w:bCs w:val="0"/>
          <w:color w:val="auto"/>
          <w:sz w:val="28"/>
          <w:szCs w:val="28"/>
        </w:rPr>
        <w:t>价阶梯为人民币：</w:t>
      </w:r>
      <w:r>
        <w:rPr>
          <w:rFonts w:hint="eastAsia" w:ascii="新宋体" w:hAnsi="新宋体" w:eastAsia="新宋体" w:cs="Times New Roman"/>
          <w:b/>
          <w:bCs/>
          <w:color w:val="FF0000"/>
          <w:sz w:val="28"/>
          <w:szCs w:val="28"/>
          <w:u w:val="single"/>
          <w:lang w:val="en-US" w:eastAsia="zh-CN"/>
        </w:rPr>
        <w:t>100</w:t>
      </w:r>
      <w:r>
        <w:rPr>
          <w:rFonts w:hint="eastAsia" w:ascii="新宋体" w:hAnsi="新宋体" w:eastAsia="新宋体" w:cs="Times New Roman"/>
          <w:b w:val="0"/>
          <w:bCs w:val="0"/>
          <w:color w:val="auto"/>
          <w:sz w:val="28"/>
          <w:szCs w:val="28"/>
        </w:rPr>
        <w:t>元的整数倍（至少</w:t>
      </w:r>
      <w:r>
        <w:rPr>
          <w:rFonts w:hint="eastAsia" w:ascii="新宋体" w:hAnsi="新宋体" w:eastAsia="新宋体" w:cs="Times New Roman"/>
          <w:b w:val="0"/>
          <w:bCs w:val="0"/>
          <w:color w:val="auto"/>
          <w:sz w:val="28"/>
          <w:szCs w:val="28"/>
          <w:lang w:val="en-US" w:eastAsia="zh-CN"/>
        </w:rPr>
        <w:t>1</w:t>
      </w:r>
      <w:r>
        <w:rPr>
          <w:rFonts w:hint="eastAsia" w:ascii="新宋体" w:hAnsi="新宋体" w:eastAsia="新宋体" w:cs="Times New Roman"/>
          <w:b w:val="0"/>
          <w:bCs w:val="0"/>
          <w:color w:val="auto"/>
          <w:sz w:val="28"/>
          <w:szCs w:val="28"/>
        </w:rPr>
        <w:t>00元）。</w:t>
      </w:r>
    </w:p>
    <w:p w14:paraId="4F646994">
      <w:pPr>
        <w:pStyle w:val="4"/>
        <w:spacing w:line="400" w:lineRule="exact"/>
        <w:ind w:left="559" w:leftChars="266"/>
        <w:rPr>
          <w:rFonts w:ascii="新宋体" w:hAnsi="新宋体" w:eastAsia="新宋体" w:cs="Times New Roman"/>
          <w:b w:val="0"/>
          <w:bCs w:val="0"/>
          <w:color w:val="auto"/>
          <w:sz w:val="28"/>
          <w:szCs w:val="28"/>
        </w:rPr>
      </w:pPr>
      <w:r>
        <w:rPr>
          <w:rFonts w:hint="eastAsia" w:ascii="新宋体" w:hAnsi="新宋体" w:eastAsia="新宋体" w:cs="Times New Roman"/>
          <w:b w:val="0"/>
          <w:bCs w:val="0"/>
          <w:color w:val="auto"/>
          <w:sz w:val="28"/>
          <w:szCs w:val="28"/>
        </w:rPr>
        <w:t>5、本次网络竞价</w:t>
      </w:r>
      <w:r>
        <w:rPr>
          <w:rFonts w:hint="eastAsia" w:ascii="新宋体" w:hAnsi="新宋体" w:eastAsia="新宋体" w:cs="Times New Roman"/>
          <w:b w:val="0"/>
          <w:bCs w:val="0"/>
          <w:color w:val="auto"/>
          <w:sz w:val="28"/>
          <w:szCs w:val="28"/>
          <w:lang w:val="en-US" w:eastAsia="zh-CN"/>
        </w:rPr>
        <w:t>由</w:t>
      </w:r>
      <w:r>
        <w:rPr>
          <w:rFonts w:hint="eastAsia" w:ascii="新宋体" w:hAnsi="新宋体" w:eastAsia="新宋体" w:cs="Times New Roman"/>
          <w:b w:val="0"/>
          <w:bCs w:val="0"/>
          <w:color w:val="auto"/>
          <w:sz w:val="28"/>
          <w:szCs w:val="28"/>
        </w:rPr>
        <w:t>自由报价期和延时报价期，两个竞价期组成。</w:t>
      </w:r>
    </w:p>
    <w:p w14:paraId="0D60DC4C">
      <w:pPr>
        <w:spacing w:line="400" w:lineRule="exact"/>
        <w:ind w:firstLine="560" w:firstLineChars="200"/>
        <w:rPr>
          <w:rFonts w:ascii="新宋体" w:hAnsi="新宋体" w:eastAsia="新宋体" w:cs="Times New Roman"/>
          <w:b w:val="0"/>
          <w:bCs w:val="0"/>
          <w:color w:val="auto"/>
          <w:sz w:val="28"/>
          <w:szCs w:val="28"/>
        </w:rPr>
      </w:pPr>
      <w:r>
        <w:rPr>
          <w:rFonts w:hint="eastAsia" w:ascii="新宋体" w:hAnsi="新宋体" w:eastAsia="新宋体" w:cs="Times New Roman"/>
          <w:b w:val="0"/>
          <w:bCs w:val="0"/>
          <w:color w:val="auto"/>
          <w:sz w:val="28"/>
          <w:szCs w:val="28"/>
        </w:rPr>
        <w:t>6、自由竞价期从</w:t>
      </w:r>
      <w:r>
        <w:rPr>
          <w:rFonts w:hint="eastAsia" w:ascii="新宋体" w:hAnsi="新宋体" w:eastAsia="新宋体" w:cs="Times New Roman"/>
          <w:b w:val="0"/>
          <w:bCs w:val="0"/>
          <w:color w:val="auto"/>
          <w:sz w:val="28"/>
          <w:szCs w:val="28"/>
          <w:u w:val="single"/>
          <w:lang w:val="en-US" w:eastAsia="zh-CN"/>
        </w:rPr>
        <w:t>2026/11/11 10:00:00</w:t>
      </w:r>
      <w:r>
        <w:rPr>
          <w:rFonts w:hint="eastAsia" w:ascii="新宋体" w:hAnsi="新宋体" w:eastAsia="新宋体" w:cs="Times New Roman"/>
          <w:b w:val="0"/>
          <w:bCs w:val="0"/>
          <w:color w:val="auto"/>
          <w:sz w:val="28"/>
          <w:szCs w:val="28"/>
        </w:rPr>
        <w:t>准点开始（以竞价系统显示时间为准），自由竞价期结束后即进入延时报价期，竞价期可由多个延时竞价周期组成，每个延时竞价周期为</w:t>
      </w:r>
      <w:r>
        <w:rPr>
          <w:rFonts w:hint="eastAsia" w:ascii="新宋体" w:hAnsi="新宋体" w:eastAsia="新宋体" w:cs="Times New Roman"/>
          <w:b/>
          <w:bCs/>
          <w:color w:val="FF0000"/>
          <w:sz w:val="28"/>
          <w:szCs w:val="28"/>
          <w:u w:val="single"/>
        </w:rPr>
        <w:t>5</w:t>
      </w:r>
      <w:r>
        <w:rPr>
          <w:rFonts w:hint="eastAsia" w:ascii="新宋体" w:hAnsi="新宋体" w:eastAsia="新宋体" w:cs="Times New Roman"/>
          <w:b w:val="0"/>
          <w:bCs w:val="0"/>
          <w:color w:val="auto"/>
          <w:sz w:val="28"/>
          <w:szCs w:val="28"/>
        </w:rPr>
        <w:t>分钟。</w:t>
      </w:r>
    </w:p>
    <w:p w14:paraId="0E88208D">
      <w:pPr>
        <w:spacing w:line="500" w:lineRule="exact"/>
        <w:ind w:firstLine="560" w:firstLineChars="200"/>
        <w:rPr>
          <w:rFonts w:ascii="新宋体" w:hAnsi="新宋体" w:eastAsia="新宋体" w:cs="Times New Roman"/>
          <w:b w:val="0"/>
          <w:bCs w:val="0"/>
          <w:color w:val="auto"/>
          <w:sz w:val="28"/>
          <w:szCs w:val="28"/>
        </w:rPr>
      </w:pPr>
      <w:r>
        <w:rPr>
          <w:rFonts w:hint="eastAsia" w:ascii="新宋体" w:hAnsi="新宋体" w:eastAsia="新宋体" w:cs="Times New Roman"/>
          <w:b w:val="0"/>
          <w:bCs w:val="0"/>
          <w:color w:val="auto"/>
          <w:sz w:val="28"/>
          <w:szCs w:val="28"/>
        </w:rPr>
        <w:t>7、在一个延时竞价周期内如未出现新的有效报价，则当前有效报价方成为该次网络竞价活动的最</w:t>
      </w:r>
      <w:r>
        <w:rPr>
          <w:rFonts w:hint="eastAsia" w:ascii="新宋体" w:hAnsi="新宋体" w:eastAsia="新宋体" w:cs="Times New Roman"/>
          <w:b w:val="0"/>
          <w:bCs w:val="0"/>
          <w:color w:val="FF0000"/>
          <w:sz w:val="28"/>
          <w:szCs w:val="28"/>
        </w:rPr>
        <w:t>高（低）</w:t>
      </w:r>
      <w:r>
        <w:rPr>
          <w:rFonts w:hint="eastAsia" w:ascii="新宋体" w:hAnsi="新宋体" w:eastAsia="新宋体" w:cs="Times New Roman"/>
          <w:b w:val="0"/>
          <w:bCs w:val="0"/>
          <w:color w:val="auto"/>
          <w:sz w:val="28"/>
          <w:szCs w:val="28"/>
        </w:rPr>
        <w:t>报价方。</w:t>
      </w:r>
    </w:p>
    <w:p w14:paraId="2D6B34F9">
      <w:pPr>
        <w:spacing w:line="500" w:lineRule="exact"/>
        <w:ind w:firstLine="560" w:firstLineChars="200"/>
        <w:rPr>
          <w:rFonts w:ascii="新宋体" w:hAnsi="新宋体" w:eastAsia="新宋体" w:cs="Times New Roman"/>
          <w:b w:val="0"/>
          <w:bCs w:val="0"/>
          <w:color w:val="auto"/>
          <w:sz w:val="28"/>
          <w:szCs w:val="28"/>
        </w:rPr>
      </w:pPr>
      <w:r>
        <w:rPr>
          <w:rFonts w:hint="eastAsia" w:ascii="新宋体" w:hAnsi="新宋体" w:eastAsia="新宋体" w:cs="Times New Roman"/>
          <w:b w:val="0"/>
          <w:bCs w:val="0"/>
          <w:color w:val="auto"/>
          <w:sz w:val="28"/>
          <w:szCs w:val="28"/>
        </w:rPr>
        <w:t>8、竞买方须谨慎在网络报价，</w:t>
      </w:r>
      <w:r>
        <w:rPr>
          <w:rFonts w:hint="eastAsia" w:ascii="新宋体" w:hAnsi="新宋体" w:eastAsia="新宋体" w:cs="Times New Roman"/>
          <w:b/>
          <w:bCs/>
          <w:color w:val="auto"/>
          <w:sz w:val="28"/>
          <w:szCs w:val="28"/>
        </w:rPr>
        <w:t>网络报价一经提交</w:t>
      </w:r>
      <w:r>
        <w:rPr>
          <w:rFonts w:hint="eastAsia" w:ascii="新宋体" w:hAnsi="新宋体" w:eastAsia="新宋体" w:cs="Times New Roman"/>
          <w:b w:val="0"/>
          <w:bCs w:val="0"/>
          <w:color w:val="auto"/>
          <w:sz w:val="28"/>
          <w:szCs w:val="28"/>
        </w:rPr>
        <w:t>并经平台记录即视为有效报价，竞买方</w:t>
      </w:r>
      <w:r>
        <w:rPr>
          <w:rFonts w:hint="eastAsia" w:ascii="新宋体" w:hAnsi="新宋体" w:eastAsia="新宋体" w:cs="Times New Roman"/>
          <w:b/>
          <w:bCs/>
          <w:color w:val="auto"/>
          <w:sz w:val="28"/>
          <w:szCs w:val="28"/>
        </w:rPr>
        <w:t>不可变更或撤销</w:t>
      </w:r>
      <w:r>
        <w:rPr>
          <w:rFonts w:hint="eastAsia" w:ascii="新宋体" w:hAnsi="新宋体" w:eastAsia="新宋体" w:cs="Times New Roman"/>
          <w:b w:val="0"/>
          <w:bCs w:val="0"/>
          <w:color w:val="auto"/>
          <w:sz w:val="28"/>
          <w:szCs w:val="28"/>
        </w:rPr>
        <w:t>。</w:t>
      </w:r>
    </w:p>
    <w:p w14:paraId="3F11DEF3">
      <w:pPr>
        <w:spacing w:line="500" w:lineRule="exact"/>
        <w:ind w:firstLine="560" w:firstLineChars="200"/>
        <w:rPr>
          <w:b w:val="0"/>
          <w:bCs w:val="0"/>
          <w:color w:val="auto"/>
        </w:rPr>
      </w:pPr>
      <w:r>
        <w:rPr>
          <w:rFonts w:hint="eastAsia" w:ascii="新宋体" w:hAnsi="新宋体" w:eastAsia="新宋体" w:cs="Times New Roman"/>
          <w:b w:val="0"/>
          <w:bCs w:val="0"/>
          <w:color w:val="auto"/>
          <w:sz w:val="28"/>
          <w:szCs w:val="28"/>
        </w:rPr>
        <w:t>9、首个竞买方初次竞买报价可等于标的起拍价，之后每次竞买报价必须比当前最</w:t>
      </w:r>
      <w:r>
        <w:rPr>
          <w:rFonts w:hint="eastAsia" w:ascii="新宋体" w:hAnsi="新宋体" w:eastAsia="新宋体" w:cs="Times New Roman"/>
          <w:b w:val="0"/>
          <w:bCs w:val="0"/>
          <w:color w:val="FF0000"/>
          <w:sz w:val="28"/>
          <w:szCs w:val="28"/>
        </w:rPr>
        <w:t>高（低）</w:t>
      </w:r>
      <w:r>
        <w:rPr>
          <w:rFonts w:hint="eastAsia" w:ascii="新宋体" w:hAnsi="新宋体" w:eastAsia="新宋体" w:cs="Times New Roman"/>
          <w:b w:val="0"/>
          <w:bCs w:val="0"/>
          <w:color w:val="auto"/>
          <w:sz w:val="28"/>
          <w:szCs w:val="28"/>
        </w:rPr>
        <w:t>报价递增一个</w:t>
      </w:r>
      <w:r>
        <w:rPr>
          <w:rFonts w:hint="eastAsia" w:ascii="新宋体" w:hAnsi="新宋体" w:eastAsia="新宋体" w:cs="Times New Roman"/>
          <w:b w:val="0"/>
          <w:bCs w:val="0"/>
          <w:color w:val="FF0000"/>
          <w:sz w:val="28"/>
          <w:szCs w:val="28"/>
        </w:rPr>
        <w:t>加（减）</w:t>
      </w:r>
      <w:r>
        <w:rPr>
          <w:rFonts w:hint="eastAsia" w:ascii="新宋体" w:hAnsi="新宋体" w:eastAsia="新宋体" w:cs="Times New Roman"/>
          <w:b w:val="0"/>
          <w:bCs w:val="0"/>
          <w:color w:val="auto"/>
          <w:sz w:val="28"/>
          <w:szCs w:val="28"/>
        </w:rPr>
        <w:t>价幅度以上的价格，且</w:t>
      </w:r>
      <w:r>
        <w:rPr>
          <w:rFonts w:hint="eastAsia" w:ascii="新宋体" w:hAnsi="新宋体" w:eastAsia="新宋体" w:cs="Times New Roman"/>
          <w:b w:val="0"/>
          <w:bCs w:val="0"/>
          <w:color w:val="FF0000"/>
          <w:sz w:val="28"/>
          <w:szCs w:val="28"/>
        </w:rPr>
        <w:t>加（减）</w:t>
      </w:r>
      <w:r>
        <w:rPr>
          <w:rFonts w:hint="eastAsia" w:ascii="新宋体" w:hAnsi="新宋体" w:eastAsia="新宋体" w:cs="Times New Roman"/>
          <w:b w:val="0"/>
          <w:bCs w:val="0"/>
          <w:color w:val="auto"/>
          <w:sz w:val="28"/>
          <w:szCs w:val="28"/>
        </w:rPr>
        <w:t>价按最小</w:t>
      </w:r>
      <w:r>
        <w:rPr>
          <w:rFonts w:hint="eastAsia" w:ascii="新宋体" w:hAnsi="新宋体" w:eastAsia="新宋体" w:cs="Times New Roman"/>
          <w:b w:val="0"/>
          <w:bCs w:val="0"/>
          <w:color w:val="FF0000"/>
          <w:sz w:val="28"/>
          <w:szCs w:val="28"/>
        </w:rPr>
        <w:t>加（减）</w:t>
      </w:r>
      <w:r>
        <w:rPr>
          <w:rFonts w:hint="eastAsia" w:ascii="新宋体" w:hAnsi="新宋体" w:eastAsia="新宋体" w:cs="Times New Roman"/>
          <w:b w:val="0"/>
          <w:bCs w:val="0"/>
          <w:color w:val="auto"/>
          <w:sz w:val="28"/>
          <w:szCs w:val="28"/>
        </w:rPr>
        <w:t>价幅度的整数倍加价。只有满足竞价</w:t>
      </w:r>
      <w:r>
        <w:rPr>
          <w:rFonts w:hint="eastAsia" w:ascii="新宋体" w:hAnsi="新宋体" w:eastAsia="新宋体" w:cs="Times New Roman"/>
          <w:b w:val="0"/>
          <w:bCs w:val="0"/>
          <w:color w:val="FF0000"/>
          <w:sz w:val="28"/>
          <w:szCs w:val="28"/>
        </w:rPr>
        <w:t>加（减）</w:t>
      </w:r>
      <w:r>
        <w:rPr>
          <w:rFonts w:hint="eastAsia" w:ascii="新宋体" w:hAnsi="新宋体" w:eastAsia="新宋体" w:cs="Times New Roman"/>
          <w:b w:val="0"/>
          <w:bCs w:val="0"/>
          <w:color w:val="auto"/>
          <w:sz w:val="28"/>
          <w:szCs w:val="28"/>
        </w:rPr>
        <w:t>价幅度等竞买相关条件的报价，系统才予以接受，并即时显示报价结果。</w:t>
      </w:r>
    </w:p>
    <w:p w14:paraId="5D39C7A3">
      <w:pPr>
        <w:spacing w:line="500" w:lineRule="exact"/>
        <w:ind w:firstLine="560" w:firstLineChars="200"/>
        <w:rPr>
          <w:rFonts w:ascii="新宋体" w:hAnsi="新宋体" w:eastAsia="新宋体" w:cs="Times New Roman"/>
          <w:b w:val="0"/>
          <w:bCs w:val="0"/>
          <w:color w:val="auto"/>
          <w:sz w:val="28"/>
          <w:szCs w:val="28"/>
        </w:rPr>
      </w:pPr>
      <w:r>
        <w:rPr>
          <w:rFonts w:hint="eastAsia" w:ascii="新宋体" w:hAnsi="新宋体" w:eastAsia="新宋体" w:cs="Times New Roman"/>
          <w:b w:val="0"/>
          <w:bCs w:val="0"/>
          <w:color w:val="auto"/>
          <w:sz w:val="28"/>
          <w:szCs w:val="28"/>
        </w:rPr>
        <w:t>10、所有竞买方在竞拍的标的物进入信息公告最后阶段，务必登录平台，密切观察交易动态，以确定信息公告的标的是否转为网络竞价状态，并参与竞拍。竞买方不得以不知道交易公告的标的转为网络竞价为由提出任何异议。</w:t>
      </w:r>
    </w:p>
    <w:p w14:paraId="3A2865DD">
      <w:pPr>
        <w:spacing w:line="500" w:lineRule="exact"/>
        <w:ind w:firstLine="560" w:firstLineChars="200"/>
        <w:rPr>
          <w:rFonts w:ascii="新宋体" w:hAnsi="新宋体" w:eastAsia="新宋体" w:cs="Times New Roman"/>
          <w:b w:val="0"/>
          <w:bCs w:val="0"/>
          <w:color w:val="auto"/>
          <w:sz w:val="28"/>
          <w:szCs w:val="28"/>
        </w:rPr>
      </w:pPr>
      <w:r>
        <w:rPr>
          <w:rFonts w:hint="eastAsia" w:ascii="新宋体" w:hAnsi="新宋体" w:eastAsia="新宋体" w:cs="Times New Roman"/>
          <w:b w:val="0"/>
          <w:bCs w:val="0"/>
          <w:color w:val="auto"/>
          <w:sz w:val="28"/>
          <w:szCs w:val="28"/>
        </w:rPr>
        <w:t>11、竞买方应尽量避免在竞拍倒计时截止前的最后1分钟内进行竞买报价，以防止因网络延迟造成系统无法接受报价导致报价无效。</w:t>
      </w:r>
    </w:p>
    <w:p w14:paraId="076F53C2">
      <w:pPr>
        <w:spacing w:line="500" w:lineRule="exact"/>
        <w:ind w:firstLine="560" w:firstLineChars="200"/>
        <w:rPr>
          <w:rFonts w:ascii="新宋体" w:hAnsi="新宋体" w:eastAsia="新宋体" w:cs="Times New Roman"/>
          <w:b w:val="0"/>
          <w:bCs w:val="0"/>
          <w:color w:val="auto"/>
          <w:sz w:val="28"/>
          <w:szCs w:val="28"/>
        </w:rPr>
      </w:pPr>
      <w:r>
        <w:rPr>
          <w:rFonts w:hint="eastAsia" w:ascii="新宋体" w:hAnsi="新宋体" w:eastAsia="新宋体" w:cs="Times New Roman"/>
          <w:b w:val="0"/>
          <w:bCs w:val="0"/>
          <w:color w:val="auto"/>
          <w:sz w:val="28"/>
          <w:szCs w:val="28"/>
        </w:rPr>
        <w:t>12、竞拍最</w:t>
      </w:r>
      <w:r>
        <w:rPr>
          <w:rFonts w:hint="eastAsia" w:ascii="新宋体" w:hAnsi="新宋体" w:eastAsia="新宋体" w:cs="Times New Roman"/>
          <w:b w:val="0"/>
          <w:bCs w:val="0"/>
          <w:color w:val="FF0000"/>
          <w:sz w:val="28"/>
          <w:szCs w:val="28"/>
        </w:rPr>
        <w:t>高（低）</w:t>
      </w:r>
      <w:r>
        <w:rPr>
          <w:rFonts w:hint="eastAsia" w:ascii="新宋体" w:hAnsi="新宋体" w:eastAsia="新宋体" w:cs="Times New Roman"/>
          <w:b w:val="0"/>
          <w:bCs w:val="0"/>
          <w:color w:val="auto"/>
          <w:sz w:val="28"/>
          <w:szCs w:val="28"/>
        </w:rPr>
        <w:t>报价的结果以系统记录数据为准。</w:t>
      </w:r>
    </w:p>
    <w:p w14:paraId="523C9F43">
      <w:pPr>
        <w:spacing w:line="500" w:lineRule="exact"/>
        <w:ind w:firstLine="560" w:firstLineChars="200"/>
        <w:rPr>
          <w:rFonts w:ascii="新宋体" w:hAnsi="新宋体" w:eastAsia="新宋体" w:cs="Times New Roman"/>
          <w:b/>
          <w:bCs/>
          <w:color w:val="auto"/>
          <w:sz w:val="28"/>
          <w:szCs w:val="28"/>
        </w:rPr>
      </w:pPr>
      <w:r>
        <w:rPr>
          <w:rFonts w:hint="eastAsia" w:ascii="新宋体" w:hAnsi="新宋体" w:eastAsia="新宋体" w:cs="Times New Roman"/>
          <w:b w:val="0"/>
          <w:bCs w:val="0"/>
          <w:color w:val="auto"/>
          <w:sz w:val="28"/>
          <w:szCs w:val="28"/>
        </w:rPr>
        <w:t>13、</w:t>
      </w:r>
      <w:r>
        <w:rPr>
          <w:rFonts w:hint="eastAsia" w:ascii="新宋体" w:hAnsi="新宋体" w:eastAsia="新宋体" w:cs="Times New Roman"/>
          <w:b/>
          <w:bCs/>
          <w:color w:val="auto"/>
          <w:sz w:val="28"/>
          <w:szCs w:val="28"/>
        </w:rPr>
        <w:t>因竞买方如下行为产生的一切后果，平台不承担任何责任：</w:t>
      </w:r>
    </w:p>
    <w:p w14:paraId="2E9C9221">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（1）未及时关注平台发布的竞价活动相关信息的；</w:t>
      </w:r>
    </w:p>
    <w:p w14:paraId="3648235C">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（2）所填写的信息不真实、不准确或不完整而造成注册账户无法使用或交易保证金无法退还的；</w:t>
      </w:r>
    </w:p>
    <w:p w14:paraId="52CA4A64">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（3）所提交的信息不真实、不完善、不准确而导致自身未通过资格条件审核的；</w:t>
      </w:r>
    </w:p>
    <w:p w14:paraId="1738A644">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（4）交易保证金交纳不及时的；</w:t>
      </w:r>
    </w:p>
    <w:p w14:paraId="49ECA2FE">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（5）由于竞买方自身的终端设备和网络异常等原因导致无法正常报价的；</w:t>
      </w:r>
    </w:p>
    <w:p w14:paraId="145830DE">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（6）网络竞价活动的时间以网络竞价系统服务器时间为准，由于竞买方自身终端设备时间与网络竞价服务器时间不符而导致的未按时参与报价的；</w:t>
      </w:r>
    </w:p>
    <w:p w14:paraId="4E0C3BFE">
      <w:pPr>
        <w:spacing w:line="500" w:lineRule="exact"/>
        <w:ind w:firstLine="560" w:firstLineChars="200"/>
        <w:rPr>
          <w:rFonts w:ascii="新宋体" w:hAnsi="新宋体" w:eastAsia="新宋体" w:cs="Times New Roman"/>
          <w:b w:val="0"/>
          <w:bCs w:val="0"/>
          <w:color w:val="auto"/>
          <w:sz w:val="28"/>
          <w:szCs w:val="28"/>
        </w:rPr>
      </w:pPr>
      <w:r>
        <w:rPr>
          <w:rFonts w:hint="eastAsia" w:ascii="新宋体" w:hAnsi="新宋体" w:eastAsia="新宋体" w:cs="Times New Roman"/>
          <w:b w:val="0"/>
          <w:bCs w:val="0"/>
          <w:color w:val="auto"/>
          <w:sz w:val="28"/>
          <w:szCs w:val="28"/>
        </w:rPr>
        <w:t>14、网络竞价系统因不可抗力、软硬件故障、非法入侵、恶意攻击等原因而导致系统异常、竞价活动中断的，当次网络竞价结果无效。平台</w:t>
      </w:r>
      <w:r>
        <w:rPr>
          <w:rFonts w:hint="eastAsia" w:ascii="新宋体" w:hAnsi="新宋体" w:eastAsia="新宋体" w:cs="Times New Roman"/>
          <w:b w:val="0"/>
          <w:bCs w:val="0"/>
          <w:color w:val="auto"/>
          <w:sz w:val="28"/>
          <w:szCs w:val="28"/>
          <w:lang w:val="en-US" w:eastAsia="zh-CN"/>
        </w:rPr>
        <w:t>应</w:t>
      </w:r>
      <w:r>
        <w:rPr>
          <w:rFonts w:hint="eastAsia" w:ascii="新宋体" w:hAnsi="新宋体" w:eastAsia="新宋体" w:cs="Times New Roman"/>
          <w:b w:val="0"/>
          <w:bCs w:val="0"/>
          <w:color w:val="auto"/>
          <w:sz w:val="28"/>
          <w:szCs w:val="28"/>
        </w:rPr>
        <w:t>当</w:t>
      </w:r>
      <w:r>
        <w:rPr>
          <w:rFonts w:hint="eastAsia" w:ascii="新宋体" w:hAnsi="新宋体" w:eastAsia="新宋体" w:cs="Times New Roman"/>
          <w:b w:val="0"/>
          <w:bCs w:val="0"/>
          <w:color w:val="auto"/>
          <w:sz w:val="28"/>
          <w:szCs w:val="28"/>
          <w:lang w:val="en-US" w:eastAsia="zh-CN"/>
        </w:rPr>
        <w:t>立</w:t>
      </w:r>
      <w:r>
        <w:rPr>
          <w:rFonts w:hint="eastAsia" w:ascii="新宋体" w:hAnsi="新宋体" w:eastAsia="新宋体" w:cs="Times New Roman"/>
          <w:b w:val="0"/>
          <w:bCs w:val="0"/>
          <w:color w:val="auto"/>
          <w:sz w:val="28"/>
          <w:szCs w:val="28"/>
        </w:rPr>
        <w:t>即与出租（转让）方协商后续方案，并将结果及时通知各竞买方，平台运营单位有权中止（冻结）</w:t>
      </w:r>
      <w:r>
        <w:rPr>
          <w:rFonts w:hint="eastAsia" w:ascii="新宋体" w:hAnsi="新宋体" w:eastAsia="新宋体" w:cs="Times New Roman"/>
          <w:b w:val="0"/>
          <w:bCs w:val="0"/>
          <w:color w:val="auto"/>
          <w:sz w:val="28"/>
          <w:szCs w:val="28"/>
          <w:lang w:val="en-US" w:eastAsia="zh-CN"/>
        </w:rPr>
        <w:t>有关</w:t>
      </w:r>
      <w:r>
        <w:rPr>
          <w:rFonts w:hint="eastAsia" w:ascii="新宋体" w:hAnsi="新宋体" w:eastAsia="新宋体" w:cs="Times New Roman"/>
          <w:b w:val="0"/>
          <w:bCs w:val="0"/>
          <w:color w:val="auto"/>
          <w:sz w:val="28"/>
          <w:szCs w:val="28"/>
        </w:rPr>
        <w:t>标的物</w:t>
      </w:r>
      <w:r>
        <w:rPr>
          <w:rFonts w:hint="eastAsia" w:ascii="新宋体" w:hAnsi="新宋体" w:eastAsia="新宋体" w:cs="Times New Roman"/>
          <w:b w:val="0"/>
          <w:bCs w:val="0"/>
          <w:color w:val="auto"/>
          <w:sz w:val="28"/>
          <w:szCs w:val="28"/>
          <w:lang w:val="en-US" w:eastAsia="zh-CN"/>
        </w:rPr>
        <w:t>的</w:t>
      </w:r>
      <w:r>
        <w:rPr>
          <w:rFonts w:hint="eastAsia" w:ascii="新宋体" w:hAnsi="新宋体" w:eastAsia="新宋体" w:cs="Times New Roman"/>
          <w:b w:val="0"/>
          <w:bCs w:val="0"/>
          <w:color w:val="auto"/>
          <w:sz w:val="28"/>
          <w:szCs w:val="28"/>
        </w:rPr>
        <w:t>竞价活动，待问题解决后依程序再行恢复竞价活动，同时平台不承担任何责任。主要行为包括但不限于以下：</w:t>
      </w:r>
    </w:p>
    <w:p w14:paraId="2C0DA2A0">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（1）网络交易系统被黑客侵入、破坏导致无法正常运行；</w:t>
      </w:r>
    </w:p>
    <w:p w14:paraId="75686A43">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（2）电信部门技术调整、电信线路或网络故障导致信息无法传递；</w:t>
      </w:r>
    </w:p>
    <w:p w14:paraId="3997A71F">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（3）电力故障；</w:t>
      </w:r>
    </w:p>
    <w:p w14:paraId="0E06B312">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（4）系统升级、系统设备故障；</w:t>
      </w:r>
    </w:p>
    <w:p w14:paraId="1317D250">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（5）平台服务器、平台运营单位办公区域出现不可抗力因素导致无法正常实施网络交易活动；</w:t>
      </w:r>
    </w:p>
    <w:p w14:paraId="754FB637">
      <w:pPr>
        <w:spacing w:line="52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（6）因操作失误导致起拍价、加（减）价幅度、竞价期结束时间周期等设置错误的；</w:t>
      </w:r>
    </w:p>
    <w:p w14:paraId="1DA33558">
      <w:pPr>
        <w:spacing w:line="52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（7）经平台运营单位或委托人核实的其他原因；</w:t>
      </w:r>
    </w:p>
    <w:p w14:paraId="62D493CB">
      <w:pPr>
        <w:spacing w:line="52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（8）平台认为需要中止网络竞价活动的其他情形。</w:t>
      </w:r>
    </w:p>
    <w:p w14:paraId="497BA09B">
      <w:pPr>
        <w:spacing w:line="520" w:lineRule="exact"/>
        <w:ind w:firstLine="560" w:firstLineChars="200"/>
        <w:rPr>
          <w:rFonts w:ascii="新宋体" w:hAnsi="新宋体" w:eastAsia="新宋体" w:cs="Times New Roman"/>
          <w:b w:val="0"/>
          <w:bCs w:val="0"/>
          <w:color w:val="auto"/>
          <w:sz w:val="28"/>
          <w:szCs w:val="28"/>
        </w:rPr>
      </w:pPr>
      <w:r>
        <w:rPr>
          <w:rFonts w:hint="eastAsia" w:ascii="新宋体" w:hAnsi="新宋体" w:eastAsia="新宋体" w:cs="Times New Roman"/>
          <w:b w:val="0"/>
          <w:bCs w:val="0"/>
          <w:color w:val="auto"/>
          <w:sz w:val="28"/>
          <w:szCs w:val="28"/>
        </w:rPr>
        <w:t>15、第14条所列的情形消失后，平台应当解除冻结，恢复交易。在信息公告阶段中止（冻结）交易的，解除冻结后，信息公告期限应顺延，顺延时间不少于冻结交易的时间；在网络竞价阶段中止（冻结）或重新竞拍交易的，解除冻结后，系统开始新一轮的竞价。</w:t>
      </w:r>
    </w:p>
    <w:p w14:paraId="3E73E018">
      <w:pPr>
        <w:spacing w:line="520" w:lineRule="exact"/>
        <w:ind w:firstLine="560" w:firstLineChars="200"/>
        <w:rPr>
          <w:rFonts w:ascii="新宋体" w:hAnsi="新宋体" w:eastAsia="新宋体" w:cs="Times New Roman"/>
          <w:color w:val="auto"/>
          <w:sz w:val="28"/>
          <w:szCs w:val="28"/>
        </w:rPr>
      </w:pPr>
      <w:r>
        <w:rPr>
          <w:rFonts w:hint="eastAsia" w:ascii="新宋体" w:hAnsi="新宋体" w:eastAsia="新宋体" w:cs="Times New Roman"/>
          <w:color w:val="auto"/>
          <w:sz w:val="28"/>
          <w:szCs w:val="28"/>
        </w:rPr>
        <w:t>16、采取中止竞价活动的，平台将按照出租（转让）方要求的时间和方式继续竞价或重新竞价，平台通知各竞买方。</w:t>
      </w:r>
    </w:p>
    <w:p w14:paraId="71703BDD">
      <w:pPr>
        <w:spacing w:line="520" w:lineRule="exact"/>
        <w:ind w:firstLine="560" w:firstLineChars="200"/>
        <w:rPr>
          <w:rFonts w:ascii="新宋体" w:hAnsi="新宋体" w:eastAsia="新宋体" w:cs="Times New Roman"/>
          <w:color w:val="auto"/>
          <w:sz w:val="28"/>
          <w:szCs w:val="28"/>
        </w:rPr>
      </w:pPr>
      <w:r>
        <w:rPr>
          <w:rFonts w:hint="eastAsia" w:ascii="新宋体" w:hAnsi="新宋体" w:eastAsia="新宋体" w:cs="Times New Roman"/>
          <w:color w:val="auto"/>
          <w:sz w:val="28"/>
          <w:szCs w:val="28"/>
        </w:rPr>
        <w:t>17、因不可抗力、软硬件故障、非法入侵、恶意攻击等原因导致平台网站服务异常、竞价活动异常的，平台可以根据相关约定重新组织实施竞价或再次发布转让信息公告。</w:t>
      </w:r>
    </w:p>
    <w:p w14:paraId="22DDCD28">
      <w:pPr>
        <w:spacing w:line="520" w:lineRule="exact"/>
        <w:ind w:firstLine="560" w:firstLineChars="200"/>
        <w:rPr>
          <w:rFonts w:ascii="新宋体" w:hAnsi="新宋体" w:eastAsia="新宋体" w:cs="Times New Roman"/>
          <w:color w:val="auto"/>
          <w:sz w:val="28"/>
          <w:szCs w:val="28"/>
        </w:rPr>
      </w:pPr>
      <w:r>
        <w:rPr>
          <w:rFonts w:hint="eastAsia" w:ascii="新宋体" w:hAnsi="新宋体" w:eastAsia="新宋体" w:cs="Times New Roman"/>
          <w:color w:val="auto"/>
          <w:sz w:val="28"/>
          <w:szCs w:val="28"/>
        </w:rPr>
        <w:t>18、在竞拍开始前和竞拍期间，标的物出现下列情形的，平台运营单位应当终止平台交易活动，待问题解决后依程序重新实施竞拍活动：</w:t>
      </w:r>
    </w:p>
    <w:p w14:paraId="6DD6D1C1">
      <w:pPr>
        <w:spacing w:line="52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（1）人民法院、检察院或其他有权机关向委托人及其上级主管部门书面通知冻结、查封标的土地的；</w:t>
      </w:r>
    </w:p>
    <w:p w14:paraId="667903B4">
      <w:pPr>
        <w:spacing w:line="52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（2）有证据表明标的物存在权属争议的；</w:t>
      </w:r>
    </w:p>
    <w:p w14:paraId="1D129AAC">
      <w:pPr>
        <w:spacing w:line="52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（3）竞买方之间发生恶意串通、违规交易行为，经查证属实的；</w:t>
      </w:r>
    </w:p>
    <w:p w14:paraId="408465E4">
      <w:pPr>
        <w:spacing w:line="52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（4）因国家政策调整导致标的物原先确定的土地使用条件发生重大变化或无法实施的；</w:t>
      </w:r>
    </w:p>
    <w:p w14:paraId="0E73EDF9">
      <w:pPr>
        <w:spacing w:line="52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（5）平台或委托方核实的其他情形。</w:t>
      </w:r>
    </w:p>
    <w:p w14:paraId="319ED597">
      <w:pPr>
        <w:spacing w:line="520" w:lineRule="exact"/>
        <w:ind w:firstLine="560" w:firstLineChars="200"/>
        <w:rPr>
          <w:rFonts w:ascii="新宋体" w:hAnsi="新宋体" w:eastAsia="新宋体" w:cs="Times New Roman"/>
          <w:color w:val="auto"/>
          <w:sz w:val="28"/>
          <w:szCs w:val="28"/>
        </w:rPr>
      </w:pPr>
      <w:r>
        <w:rPr>
          <w:rFonts w:hint="eastAsia" w:ascii="新宋体" w:hAnsi="新宋体" w:eastAsia="新宋体" w:cs="Times New Roman"/>
          <w:color w:val="auto"/>
          <w:sz w:val="28"/>
          <w:szCs w:val="28"/>
        </w:rPr>
        <w:t>19、中止（冻结）竞拍活动，平台运营单位应当在平台发布相关信息。竞买方可以通过邮件、电话联系等方式或者直接向运营单位咨询，以获得标的中止（冻结）交易和解除冻结的相关信息。</w:t>
      </w:r>
    </w:p>
    <w:p w14:paraId="451A3786">
      <w:pPr>
        <w:spacing w:line="520" w:lineRule="exact"/>
        <w:ind w:firstLine="560" w:firstLineChars="200"/>
        <w:rPr>
          <w:rFonts w:ascii="新宋体" w:hAnsi="新宋体" w:eastAsia="新宋体" w:cs="Times New Roman"/>
          <w:color w:val="auto"/>
          <w:sz w:val="28"/>
          <w:szCs w:val="28"/>
        </w:rPr>
      </w:pPr>
      <w:r>
        <w:rPr>
          <w:rFonts w:hint="eastAsia" w:ascii="新宋体" w:hAnsi="新宋体" w:eastAsia="新宋体" w:cs="Times New Roman"/>
          <w:color w:val="auto"/>
          <w:sz w:val="28"/>
          <w:szCs w:val="28"/>
        </w:rPr>
        <w:t>20、竞买方有下列违约行为之一的，其所交纳的交易保证金将作为违约金扣除，平台有权中止、取消其竞得资格，并将其列入平台黑名单；造成平台及相关方损失的，由竞买方依法承担赔偿损失等法律责任。</w:t>
      </w:r>
    </w:p>
    <w:p w14:paraId="70D4DEA2">
      <w:pPr>
        <w:spacing w:line="58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（1）竞买方不按平台注册登记的要求提供有关文件材料、提供虚假文件或隐瞒事实的；</w:t>
      </w:r>
    </w:p>
    <w:p w14:paraId="166B103B">
      <w:pPr>
        <w:spacing w:line="58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（2）因竞买方原因未在规定的时间内与出租（转让）方签订交易合同的；竞买方无故不推进交易或无故放弃受让的；</w:t>
      </w:r>
    </w:p>
    <w:p w14:paraId="1FC2C1FB">
      <w:pPr>
        <w:spacing w:line="58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（3）因竞买方原因未按照规定支付交易价款和交易服务费的；</w:t>
      </w:r>
    </w:p>
    <w:p w14:paraId="7B99F1C6">
      <w:pPr>
        <w:spacing w:line="58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（4）竞买方违反公平竞争原则，实施串通竞价、恶意抬价、排挤其他竞买方，或者其他扰乱竞价交易活动秩序等侵害出租（转让）方合法权益，违反法律、法规、规章规定的；</w:t>
      </w:r>
    </w:p>
    <w:p w14:paraId="23C7196B">
      <w:pPr>
        <w:spacing w:line="58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（5）竞买方违反法律法规或相关规定给出租（转让）方、平台造成损失的；</w:t>
      </w:r>
    </w:p>
    <w:p w14:paraId="0EDD3926">
      <w:pPr>
        <w:spacing w:line="58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（6）信息公告中约定的交易保证金不予退还的其他情形；</w:t>
      </w:r>
    </w:p>
    <w:p w14:paraId="1C3B109E">
      <w:pPr>
        <w:spacing w:line="58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（7）同一自然人、法人或其他组织同时以竞买方和出租（转让）方的身份参与竞价交易活动的。</w:t>
      </w:r>
    </w:p>
    <w:p w14:paraId="6E5D2F4A">
      <w:pPr>
        <w:spacing w:line="58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21、应价时间截止，所有竞买方均未报价导致本次网络竞价终结的，视为违约，所有竞买方交纳的交易保证金将不予退还。</w:t>
      </w:r>
    </w:p>
    <w:p w14:paraId="556DF67E">
      <w:pPr>
        <w:spacing w:line="58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22、成交结果以平台出具的《标的竞得书》为准。平台在竞价结束的2个工作日内向竞得方出具《标的竞得书》。竞得人凭《标的竞得书》与委托单位在公告要求的时限内签订交易合同，平台对合同内容按规定进行形式审核，审核通过后解冻竞得人的交易保证金。竞得人需要在交易合同签订的5个工作日内按规定标准缴纳交易服务费。</w:t>
      </w:r>
    </w:p>
    <w:p w14:paraId="7B76475E">
      <w:pPr>
        <w:spacing w:line="500" w:lineRule="exact"/>
        <w:ind w:firstLine="560" w:firstLineChars="200"/>
        <w:rPr>
          <w:rFonts w:ascii="新宋体" w:hAnsi="新宋体" w:eastAsia="新宋体" w:cs="Times New Roman"/>
          <w:b w:val="0"/>
          <w:bCs w:val="0"/>
          <w:color w:val="000000" w:themeColor="text1"/>
          <w:sz w:val="28"/>
          <w:szCs w:val="28"/>
          <w14:textFill>
            <w14:solidFill>
              <w14:schemeClr w14:val="tx1"/>
            </w14:solidFill>
          </w14:textFill>
        </w:rPr>
      </w:pPr>
      <w:r>
        <w:rPr>
          <w:rFonts w:hint="eastAsia" w:ascii="新宋体" w:hAnsi="新宋体" w:eastAsia="新宋体" w:cs="Times New Roman"/>
          <w:b w:val="0"/>
          <w:bCs w:val="0"/>
          <w:color w:val="000000" w:themeColor="text1"/>
          <w:sz w:val="28"/>
          <w:szCs w:val="28"/>
          <w14:textFill>
            <w14:solidFill>
              <w14:schemeClr w14:val="tx1"/>
            </w14:solidFill>
          </w14:textFill>
        </w:rPr>
        <w:t>23、服务费收费标准：</w:t>
      </w:r>
    </w:p>
    <w:p w14:paraId="443A47D0">
      <w:pPr>
        <w:spacing w:line="500" w:lineRule="exact"/>
        <w:ind w:firstLine="560" w:firstLineChars="200"/>
        <w:rPr>
          <w:rFonts w:hint="eastAsia" w:ascii="新宋体" w:hAnsi="新宋体" w:eastAsia="新宋体" w:cs="新宋体"/>
          <w:b w:val="0"/>
          <w:bCs w:val="0"/>
          <w:color w:val="000000" w:themeColor="text1"/>
          <w:sz w:val="28"/>
          <w:szCs w:val="28"/>
          <w14:textFill>
            <w14:solidFill>
              <w14:schemeClr w14:val="tx1"/>
            </w14:solidFill>
          </w14:textFill>
        </w:rPr>
      </w:pPr>
      <w:r>
        <w:rPr>
          <w:rFonts w:hint="eastAsia" w:ascii="新宋体" w:hAnsi="新宋体" w:eastAsia="新宋体" w:cs="新宋体"/>
          <w:b w:val="0"/>
          <w:bCs w:val="0"/>
          <w:color w:val="000000" w:themeColor="text1"/>
          <w:sz w:val="28"/>
          <w:szCs w:val="28"/>
          <w14:textFill>
            <w14:solidFill>
              <w14:schemeClr w14:val="tx1"/>
            </w14:solidFill>
          </w14:textFill>
        </w:rPr>
        <w:t>（1）</w:t>
      </w:r>
      <w:r>
        <w:rPr>
          <w:rFonts w:hint="eastAsia" w:ascii="新宋体" w:hAnsi="新宋体" w:eastAsia="新宋体" w:cs="新宋体"/>
          <w:b/>
          <w:bCs/>
          <w:color w:val="000000" w:themeColor="text1"/>
          <w:sz w:val="28"/>
          <w:szCs w:val="28"/>
          <w:shd w:val="clear" w:color="auto" w:fill="FFFFFF"/>
          <w14:textFill>
            <w14:solidFill>
              <w14:schemeClr w14:val="tx1"/>
            </w14:solidFill>
          </w14:textFill>
        </w:rPr>
        <w:t>一人出价竞得交易服务费</w:t>
      </w:r>
      <w:r>
        <w:rPr>
          <w:rFonts w:hint="eastAsia" w:ascii="新宋体" w:hAnsi="新宋体" w:eastAsia="新宋体" w:cs="新宋体"/>
          <w:b w:val="0"/>
          <w:bCs w:val="0"/>
          <w:color w:val="000000" w:themeColor="text1"/>
          <w:sz w:val="28"/>
          <w:szCs w:val="28"/>
          <w:shd w:val="clear" w:color="auto" w:fill="FFFFFF"/>
          <w14:textFill>
            <w14:solidFill>
              <w14:schemeClr w14:val="tx1"/>
            </w14:solidFill>
          </w14:textFill>
        </w:rPr>
        <w:t>的收费标准采用差额递减累进方式计算，以成交金额（合同总价格）为基数，双向收取，标准如下： </w:t>
      </w:r>
    </w:p>
    <w:tbl>
      <w:tblPr>
        <w:tblStyle w:val="12"/>
        <w:tblW w:w="0" w:type="auto"/>
        <w:tblInd w:w="0" w:type="dxa"/>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4485"/>
        <w:gridCol w:w="3735"/>
      </w:tblGrid>
      <w:tr w14:paraId="531B629F">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2CD2884A">
            <w:pPr>
              <w:pStyle w:val="11"/>
              <w:widowControl/>
              <w:spacing w:beforeAutospacing="0" w:afterAutospacing="0" w:line="480" w:lineRule="atLeast"/>
              <w:ind w:firstLine="420"/>
              <w:rPr>
                <w:rFonts w:hint="eastAsia" w:ascii="新宋体" w:hAnsi="新宋体" w:eastAsia="新宋体" w:cs="新宋体"/>
                <w:b w:val="0"/>
                <w:bCs w:val="0"/>
                <w:color w:val="000000" w:themeColor="text1"/>
                <w:sz w:val="28"/>
                <w:szCs w:val="28"/>
                <w14:textFill>
                  <w14:solidFill>
                    <w14:schemeClr w14:val="tx1"/>
                  </w14:solidFill>
                </w14:textFill>
              </w:rPr>
            </w:pPr>
            <w:r>
              <w:rPr>
                <w:rFonts w:hint="eastAsia" w:ascii="新宋体" w:hAnsi="新宋体" w:eastAsia="新宋体" w:cs="新宋体"/>
                <w:b w:val="0"/>
                <w:bCs w:val="0"/>
                <w:color w:val="000000" w:themeColor="text1"/>
                <w:sz w:val="28"/>
                <w:szCs w:val="28"/>
                <w14:textFill>
                  <w14:solidFill>
                    <w14:schemeClr w14:val="tx1"/>
                  </w14:solidFill>
                </w14:textFill>
              </w:rPr>
              <w:t>成交金额（人民币万元）</w:t>
            </w:r>
          </w:p>
        </w:tc>
        <w:tc>
          <w:tcPr>
            <w:tcW w:w="3735" w:type="dxa"/>
            <w:shd w:val="clear" w:color="auto" w:fill="FFFFFF"/>
            <w:vAlign w:val="center"/>
          </w:tcPr>
          <w:p w14:paraId="1A5BFEBF">
            <w:pPr>
              <w:pStyle w:val="11"/>
              <w:widowControl/>
              <w:spacing w:beforeAutospacing="0" w:afterAutospacing="0" w:line="480" w:lineRule="atLeast"/>
              <w:ind w:firstLine="420"/>
              <w:rPr>
                <w:rFonts w:hint="eastAsia" w:ascii="新宋体" w:hAnsi="新宋体" w:eastAsia="新宋体" w:cs="新宋体"/>
                <w:b w:val="0"/>
                <w:bCs w:val="0"/>
                <w:color w:val="000000" w:themeColor="text1"/>
                <w:sz w:val="28"/>
                <w:szCs w:val="28"/>
                <w14:textFill>
                  <w14:solidFill>
                    <w14:schemeClr w14:val="tx1"/>
                  </w14:solidFill>
                </w14:textFill>
              </w:rPr>
            </w:pPr>
            <w:r>
              <w:rPr>
                <w:rFonts w:hint="eastAsia" w:ascii="新宋体" w:hAnsi="新宋体" w:eastAsia="新宋体" w:cs="新宋体"/>
                <w:b w:val="0"/>
                <w:bCs w:val="0"/>
                <w:color w:val="000000" w:themeColor="text1"/>
                <w:sz w:val="28"/>
                <w:szCs w:val="28"/>
                <w14:textFill>
                  <w14:solidFill>
                    <w14:schemeClr w14:val="tx1"/>
                  </w14:solidFill>
                </w14:textFill>
              </w:rPr>
              <w:t>差额计费率（%）</w:t>
            </w:r>
          </w:p>
        </w:tc>
      </w:tr>
      <w:tr w14:paraId="761949A2">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4B5238E4">
            <w:pPr>
              <w:pStyle w:val="11"/>
              <w:widowControl/>
              <w:spacing w:beforeAutospacing="0" w:afterAutospacing="0" w:line="480" w:lineRule="atLeast"/>
              <w:ind w:firstLine="420"/>
              <w:rPr>
                <w:rFonts w:hint="eastAsia" w:ascii="新宋体" w:hAnsi="新宋体" w:eastAsia="新宋体" w:cs="新宋体"/>
                <w:b w:val="0"/>
                <w:bCs w:val="0"/>
                <w:color w:val="000000" w:themeColor="text1"/>
                <w:sz w:val="28"/>
                <w:szCs w:val="28"/>
                <w14:textFill>
                  <w14:solidFill>
                    <w14:schemeClr w14:val="tx1"/>
                  </w14:solidFill>
                </w14:textFill>
              </w:rPr>
            </w:pPr>
            <w:r>
              <w:rPr>
                <w:rFonts w:hint="eastAsia" w:ascii="新宋体" w:hAnsi="新宋体" w:eastAsia="新宋体" w:cs="新宋体"/>
                <w:b w:val="0"/>
                <w:bCs w:val="0"/>
                <w:color w:val="000000" w:themeColor="text1"/>
                <w:sz w:val="28"/>
                <w:szCs w:val="28"/>
                <w14:textFill>
                  <w14:solidFill>
                    <w14:schemeClr w14:val="tx1"/>
                  </w14:solidFill>
                </w14:textFill>
              </w:rPr>
              <w:t>100（含）以下</w:t>
            </w:r>
          </w:p>
        </w:tc>
        <w:tc>
          <w:tcPr>
            <w:tcW w:w="3735" w:type="dxa"/>
            <w:shd w:val="clear" w:color="auto" w:fill="FFFFFF"/>
            <w:vAlign w:val="center"/>
          </w:tcPr>
          <w:p w14:paraId="79BE01C2">
            <w:pPr>
              <w:pStyle w:val="11"/>
              <w:widowControl/>
              <w:spacing w:beforeAutospacing="0" w:afterAutospacing="0" w:line="480" w:lineRule="atLeast"/>
              <w:ind w:firstLine="420"/>
              <w:rPr>
                <w:rFonts w:hint="eastAsia" w:ascii="新宋体" w:hAnsi="新宋体" w:eastAsia="新宋体" w:cs="新宋体"/>
                <w:b w:val="0"/>
                <w:bCs w:val="0"/>
                <w:color w:val="000000" w:themeColor="text1"/>
                <w:sz w:val="28"/>
                <w:szCs w:val="28"/>
                <w14:textFill>
                  <w14:solidFill>
                    <w14:schemeClr w14:val="tx1"/>
                  </w14:solidFill>
                </w14:textFill>
              </w:rPr>
            </w:pPr>
            <w:r>
              <w:rPr>
                <w:rFonts w:hint="eastAsia" w:ascii="新宋体" w:hAnsi="新宋体" w:eastAsia="新宋体" w:cs="新宋体"/>
                <w:b w:val="0"/>
                <w:bCs w:val="0"/>
                <w:color w:val="000000" w:themeColor="text1"/>
                <w:sz w:val="28"/>
                <w:szCs w:val="28"/>
                <w14:textFill>
                  <w14:solidFill>
                    <w14:schemeClr w14:val="tx1"/>
                  </w14:solidFill>
                </w14:textFill>
              </w:rPr>
              <w:t>1</w:t>
            </w:r>
          </w:p>
        </w:tc>
      </w:tr>
      <w:tr w14:paraId="356720F6">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49700CA1">
            <w:pPr>
              <w:pStyle w:val="11"/>
              <w:widowControl/>
              <w:spacing w:beforeAutospacing="0" w:afterAutospacing="0" w:line="480" w:lineRule="atLeast"/>
              <w:ind w:firstLine="420"/>
              <w:rPr>
                <w:rFonts w:hint="eastAsia" w:ascii="新宋体" w:hAnsi="新宋体" w:eastAsia="新宋体" w:cs="新宋体"/>
                <w:b w:val="0"/>
                <w:bCs w:val="0"/>
                <w:color w:val="000000" w:themeColor="text1"/>
                <w:sz w:val="28"/>
                <w:szCs w:val="28"/>
                <w14:textFill>
                  <w14:solidFill>
                    <w14:schemeClr w14:val="tx1"/>
                  </w14:solidFill>
                </w14:textFill>
              </w:rPr>
            </w:pPr>
            <w:r>
              <w:rPr>
                <w:rFonts w:hint="eastAsia" w:ascii="新宋体" w:hAnsi="新宋体" w:eastAsia="新宋体" w:cs="新宋体"/>
                <w:b w:val="0"/>
                <w:bCs w:val="0"/>
                <w:color w:val="000000" w:themeColor="text1"/>
                <w:sz w:val="28"/>
                <w:szCs w:val="28"/>
                <w14:textFill>
                  <w14:solidFill>
                    <w14:schemeClr w14:val="tx1"/>
                  </w14:solidFill>
                </w14:textFill>
              </w:rPr>
              <w:t>100-500（含）</w:t>
            </w:r>
          </w:p>
        </w:tc>
        <w:tc>
          <w:tcPr>
            <w:tcW w:w="3735" w:type="dxa"/>
            <w:shd w:val="clear" w:color="auto" w:fill="FFFFFF"/>
            <w:vAlign w:val="center"/>
          </w:tcPr>
          <w:p w14:paraId="0E05CF9B">
            <w:pPr>
              <w:pStyle w:val="11"/>
              <w:widowControl/>
              <w:spacing w:beforeAutospacing="0" w:afterAutospacing="0" w:line="480" w:lineRule="atLeast"/>
              <w:ind w:firstLine="420"/>
              <w:rPr>
                <w:rFonts w:hint="eastAsia" w:ascii="新宋体" w:hAnsi="新宋体" w:eastAsia="新宋体" w:cs="新宋体"/>
                <w:b w:val="0"/>
                <w:bCs w:val="0"/>
                <w:color w:val="000000" w:themeColor="text1"/>
                <w:sz w:val="28"/>
                <w:szCs w:val="28"/>
                <w14:textFill>
                  <w14:solidFill>
                    <w14:schemeClr w14:val="tx1"/>
                  </w14:solidFill>
                </w14:textFill>
              </w:rPr>
            </w:pPr>
            <w:r>
              <w:rPr>
                <w:rFonts w:hint="eastAsia" w:ascii="新宋体" w:hAnsi="新宋体" w:eastAsia="新宋体" w:cs="新宋体"/>
                <w:b w:val="0"/>
                <w:bCs w:val="0"/>
                <w:color w:val="000000" w:themeColor="text1"/>
                <w:sz w:val="28"/>
                <w:szCs w:val="28"/>
                <w14:textFill>
                  <w14:solidFill>
                    <w14:schemeClr w14:val="tx1"/>
                  </w14:solidFill>
                </w14:textFill>
              </w:rPr>
              <w:t>0.8</w:t>
            </w:r>
          </w:p>
        </w:tc>
      </w:tr>
      <w:tr w14:paraId="47F0C3B7">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45F076D8">
            <w:pPr>
              <w:pStyle w:val="11"/>
              <w:widowControl/>
              <w:spacing w:beforeAutospacing="0" w:afterAutospacing="0" w:line="480" w:lineRule="atLeast"/>
              <w:ind w:firstLine="420"/>
              <w:rPr>
                <w:rFonts w:hint="eastAsia" w:ascii="新宋体" w:hAnsi="新宋体" w:eastAsia="新宋体" w:cs="新宋体"/>
                <w:b w:val="0"/>
                <w:bCs w:val="0"/>
                <w:color w:val="000000" w:themeColor="text1"/>
                <w:sz w:val="28"/>
                <w:szCs w:val="28"/>
                <w14:textFill>
                  <w14:solidFill>
                    <w14:schemeClr w14:val="tx1"/>
                  </w14:solidFill>
                </w14:textFill>
              </w:rPr>
            </w:pPr>
            <w:r>
              <w:rPr>
                <w:rFonts w:hint="eastAsia" w:ascii="新宋体" w:hAnsi="新宋体" w:eastAsia="新宋体" w:cs="新宋体"/>
                <w:b w:val="0"/>
                <w:bCs w:val="0"/>
                <w:color w:val="000000" w:themeColor="text1"/>
                <w:sz w:val="28"/>
                <w:szCs w:val="28"/>
                <w14:textFill>
                  <w14:solidFill>
                    <w14:schemeClr w14:val="tx1"/>
                  </w14:solidFill>
                </w14:textFill>
              </w:rPr>
              <w:t>500-1000（含）</w:t>
            </w:r>
          </w:p>
        </w:tc>
        <w:tc>
          <w:tcPr>
            <w:tcW w:w="3735" w:type="dxa"/>
            <w:shd w:val="clear" w:color="auto" w:fill="FFFFFF"/>
            <w:vAlign w:val="center"/>
          </w:tcPr>
          <w:p w14:paraId="3839C106">
            <w:pPr>
              <w:pStyle w:val="11"/>
              <w:widowControl/>
              <w:spacing w:beforeAutospacing="0" w:afterAutospacing="0" w:line="480" w:lineRule="atLeast"/>
              <w:ind w:firstLine="420"/>
              <w:rPr>
                <w:rFonts w:hint="eastAsia" w:ascii="新宋体" w:hAnsi="新宋体" w:eastAsia="新宋体" w:cs="新宋体"/>
                <w:b w:val="0"/>
                <w:bCs w:val="0"/>
                <w:color w:val="000000" w:themeColor="text1"/>
                <w:sz w:val="28"/>
                <w:szCs w:val="28"/>
                <w14:textFill>
                  <w14:solidFill>
                    <w14:schemeClr w14:val="tx1"/>
                  </w14:solidFill>
                </w14:textFill>
              </w:rPr>
            </w:pPr>
            <w:r>
              <w:rPr>
                <w:rFonts w:hint="eastAsia" w:ascii="新宋体" w:hAnsi="新宋体" w:eastAsia="新宋体" w:cs="新宋体"/>
                <w:b w:val="0"/>
                <w:bCs w:val="0"/>
                <w:color w:val="000000" w:themeColor="text1"/>
                <w:sz w:val="28"/>
                <w:szCs w:val="28"/>
                <w14:textFill>
                  <w14:solidFill>
                    <w14:schemeClr w14:val="tx1"/>
                  </w14:solidFill>
                </w14:textFill>
              </w:rPr>
              <w:t>0.6</w:t>
            </w:r>
          </w:p>
        </w:tc>
      </w:tr>
      <w:tr w14:paraId="51132184">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3EA42788">
            <w:pPr>
              <w:pStyle w:val="11"/>
              <w:widowControl/>
              <w:spacing w:beforeAutospacing="0" w:afterAutospacing="0" w:line="480" w:lineRule="atLeast"/>
              <w:ind w:firstLine="420"/>
              <w:rPr>
                <w:rFonts w:hint="eastAsia" w:ascii="新宋体" w:hAnsi="新宋体" w:eastAsia="新宋体" w:cs="新宋体"/>
                <w:b w:val="0"/>
                <w:bCs w:val="0"/>
                <w:color w:val="000000" w:themeColor="text1"/>
                <w:sz w:val="28"/>
                <w:szCs w:val="28"/>
                <w14:textFill>
                  <w14:solidFill>
                    <w14:schemeClr w14:val="tx1"/>
                  </w14:solidFill>
                </w14:textFill>
              </w:rPr>
            </w:pPr>
            <w:r>
              <w:rPr>
                <w:rFonts w:hint="eastAsia" w:ascii="新宋体" w:hAnsi="新宋体" w:eastAsia="新宋体" w:cs="新宋体"/>
                <w:b w:val="0"/>
                <w:bCs w:val="0"/>
                <w:color w:val="000000" w:themeColor="text1"/>
                <w:sz w:val="28"/>
                <w:szCs w:val="28"/>
                <w14:textFill>
                  <w14:solidFill>
                    <w14:schemeClr w14:val="tx1"/>
                  </w14:solidFill>
                </w14:textFill>
              </w:rPr>
              <w:t>1000-5000（含）</w:t>
            </w:r>
          </w:p>
        </w:tc>
        <w:tc>
          <w:tcPr>
            <w:tcW w:w="3735" w:type="dxa"/>
            <w:shd w:val="clear" w:color="auto" w:fill="FFFFFF"/>
            <w:vAlign w:val="center"/>
          </w:tcPr>
          <w:p w14:paraId="4C17C46C">
            <w:pPr>
              <w:pStyle w:val="11"/>
              <w:widowControl/>
              <w:spacing w:beforeAutospacing="0" w:afterAutospacing="0" w:line="480" w:lineRule="atLeast"/>
              <w:ind w:firstLine="420"/>
              <w:rPr>
                <w:rFonts w:hint="eastAsia" w:ascii="新宋体" w:hAnsi="新宋体" w:eastAsia="新宋体" w:cs="新宋体"/>
                <w:b w:val="0"/>
                <w:bCs w:val="0"/>
                <w:color w:val="000000" w:themeColor="text1"/>
                <w:sz w:val="28"/>
                <w:szCs w:val="28"/>
                <w14:textFill>
                  <w14:solidFill>
                    <w14:schemeClr w14:val="tx1"/>
                  </w14:solidFill>
                </w14:textFill>
              </w:rPr>
            </w:pPr>
            <w:r>
              <w:rPr>
                <w:rFonts w:hint="eastAsia" w:ascii="新宋体" w:hAnsi="新宋体" w:eastAsia="新宋体" w:cs="新宋体"/>
                <w:b w:val="0"/>
                <w:bCs w:val="0"/>
                <w:color w:val="000000" w:themeColor="text1"/>
                <w:sz w:val="28"/>
                <w:szCs w:val="28"/>
                <w14:textFill>
                  <w14:solidFill>
                    <w14:schemeClr w14:val="tx1"/>
                  </w14:solidFill>
                </w14:textFill>
              </w:rPr>
              <w:t>0.4</w:t>
            </w:r>
          </w:p>
        </w:tc>
      </w:tr>
      <w:tr w14:paraId="7C7F8E89">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5C075A0D">
            <w:pPr>
              <w:pStyle w:val="11"/>
              <w:widowControl/>
              <w:spacing w:beforeAutospacing="0" w:afterAutospacing="0" w:line="480" w:lineRule="atLeast"/>
              <w:ind w:firstLine="420"/>
              <w:rPr>
                <w:rFonts w:hint="eastAsia" w:ascii="新宋体" w:hAnsi="新宋体" w:eastAsia="新宋体" w:cs="新宋体"/>
                <w:b w:val="0"/>
                <w:bCs w:val="0"/>
                <w:color w:val="000000" w:themeColor="text1"/>
                <w:sz w:val="28"/>
                <w:szCs w:val="28"/>
                <w14:textFill>
                  <w14:solidFill>
                    <w14:schemeClr w14:val="tx1"/>
                  </w14:solidFill>
                </w14:textFill>
              </w:rPr>
            </w:pPr>
            <w:r>
              <w:rPr>
                <w:rFonts w:hint="eastAsia" w:ascii="新宋体" w:hAnsi="新宋体" w:eastAsia="新宋体" w:cs="新宋体"/>
                <w:b w:val="0"/>
                <w:bCs w:val="0"/>
                <w:color w:val="000000" w:themeColor="text1"/>
                <w:sz w:val="28"/>
                <w:szCs w:val="28"/>
                <w14:textFill>
                  <w14:solidFill>
                    <w14:schemeClr w14:val="tx1"/>
                  </w14:solidFill>
                </w14:textFill>
              </w:rPr>
              <w:t>5000以上</w:t>
            </w:r>
          </w:p>
        </w:tc>
        <w:tc>
          <w:tcPr>
            <w:tcW w:w="3735" w:type="dxa"/>
            <w:shd w:val="clear" w:color="auto" w:fill="FFFFFF"/>
            <w:vAlign w:val="center"/>
          </w:tcPr>
          <w:p w14:paraId="1F2757C3">
            <w:pPr>
              <w:pStyle w:val="11"/>
              <w:widowControl/>
              <w:spacing w:beforeAutospacing="0" w:afterAutospacing="0" w:line="480" w:lineRule="atLeast"/>
              <w:ind w:firstLine="420"/>
              <w:rPr>
                <w:rFonts w:hint="eastAsia" w:ascii="新宋体" w:hAnsi="新宋体" w:eastAsia="新宋体" w:cs="新宋体"/>
                <w:b w:val="0"/>
                <w:bCs w:val="0"/>
                <w:color w:val="000000" w:themeColor="text1"/>
                <w:sz w:val="28"/>
                <w:szCs w:val="28"/>
                <w14:textFill>
                  <w14:solidFill>
                    <w14:schemeClr w14:val="tx1"/>
                  </w14:solidFill>
                </w14:textFill>
              </w:rPr>
            </w:pPr>
            <w:r>
              <w:rPr>
                <w:rFonts w:hint="eastAsia" w:ascii="新宋体" w:hAnsi="新宋体" w:eastAsia="新宋体" w:cs="新宋体"/>
                <w:b w:val="0"/>
                <w:bCs w:val="0"/>
                <w:color w:val="000000" w:themeColor="text1"/>
                <w:sz w:val="28"/>
                <w:szCs w:val="28"/>
                <w14:textFill>
                  <w14:solidFill>
                    <w14:schemeClr w14:val="tx1"/>
                  </w14:solidFill>
                </w14:textFill>
              </w:rPr>
              <w:t>0.3</w:t>
            </w:r>
          </w:p>
        </w:tc>
      </w:tr>
    </w:tbl>
    <w:p w14:paraId="7EE09207">
      <w:pPr>
        <w:pStyle w:val="11"/>
        <w:widowControl/>
        <w:shd w:val="clear" w:color="auto" w:fill="FFFFFF"/>
        <w:spacing w:beforeAutospacing="0" w:afterAutospacing="0" w:line="500" w:lineRule="exact"/>
        <w:ind w:firstLine="420"/>
        <w:rPr>
          <w:rFonts w:hint="eastAsia" w:ascii="新宋体" w:hAnsi="新宋体" w:eastAsia="新宋体" w:cs="新宋体"/>
          <w:b w:val="0"/>
          <w:bCs w:val="0"/>
          <w:color w:val="000000" w:themeColor="text1"/>
          <w:kern w:val="2"/>
          <w:sz w:val="28"/>
          <w:szCs w:val="28"/>
          <w:shd w:val="clear" w:color="auto" w:fill="FFFFFF"/>
          <w14:textFill>
            <w14:solidFill>
              <w14:schemeClr w14:val="tx1"/>
            </w14:solidFill>
          </w14:textFill>
        </w:rPr>
      </w:pPr>
      <w:r>
        <w:rPr>
          <w:rFonts w:hint="eastAsia" w:ascii="新宋体" w:hAnsi="新宋体" w:eastAsia="新宋体" w:cs="新宋体"/>
          <w:b w:val="0"/>
          <w:bCs w:val="0"/>
          <w:color w:val="000000" w:themeColor="text1"/>
          <w:kern w:val="2"/>
          <w:sz w:val="28"/>
          <w:szCs w:val="28"/>
          <w:shd w:val="clear" w:color="auto" w:fill="FFFFFF"/>
          <w14:textFill>
            <w14:solidFill>
              <w14:schemeClr w14:val="tx1"/>
            </w14:solidFill>
          </w14:textFill>
        </w:rPr>
        <w:t>（2）</w:t>
      </w:r>
      <w:r>
        <w:rPr>
          <w:rFonts w:hint="eastAsia" w:ascii="新宋体" w:hAnsi="新宋体" w:eastAsia="新宋体" w:cs="新宋体"/>
          <w:b/>
          <w:bCs/>
          <w:color w:val="000000" w:themeColor="text1"/>
          <w:kern w:val="2"/>
          <w:sz w:val="28"/>
          <w:szCs w:val="28"/>
          <w:shd w:val="clear" w:color="auto" w:fill="FFFFFF"/>
          <w14:textFill>
            <w14:solidFill>
              <w14:schemeClr w14:val="tx1"/>
            </w14:solidFill>
          </w14:textFill>
        </w:rPr>
        <w:t>二人以上出价竞价服务费</w:t>
      </w:r>
      <w:r>
        <w:rPr>
          <w:rFonts w:hint="eastAsia" w:ascii="新宋体" w:hAnsi="新宋体" w:eastAsia="新宋体" w:cs="新宋体"/>
          <w:b w:val="0"/>
          <w:bCs w:val="0"/>
          <w:color w:val="000000" w:themeColor="text1"/>
          <w:kern w:val="2"/>
          <w:sz w:val="28"/>
          <w:szCs w:val="28"/>
          <w:shd w:val="clear" w:color="auto" w:fill="FFFFFF"/>
          <w14:textFill>
            <w14:solidFill>
              <w14:schemeClr w14:val="tx1"/>
            </w14:solidFill>
          </w14:textFill>
        </w:rPr>
        <w:t>的收费标准采用差额递减累进方式计算，以成交总金额（合同总价格）为基数，双向收取，标准如下：</w:t>
      </w:r>
    </w:p>
    <w:tbl>
      <w:tblPr>
        <w:tblStyle w:val="12"/>
        <w:tblW w:w="0" w:type="auto"/>
        <w:tblInd w:w="0" w:type="dxa"/>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3705"/>
        <w:gridCol w:w="4350"/>
      </w:tblGrid>
      <w:tr w14:paraId="1BE8804E">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3705" w:type="dxa"/>
            <w:shd w:val="clear" w:color="auto" w:fill="FFFFFF"/>
            <w:vAlign w:val="center"/>
          </w:tcPr>
          <w:p w14:paraId="1AA998C8">
            <w:pPr>
              <w:pStyle w:val="11"/>
              <w:widowControl/>
              <w:spacing w:beforeAutospacing="0" w:afterAutospacing="0" w:line="480" w:lineRule="atLeast"/>
              <w:ind w:firstLine="420"/>
              <w:rPr>
                <w:rFonts w:hint="eastAsia" w:ascii="新宋体" w:hAnsi="新宋体" w:eastAsia="新宋体" w:cs="新宋体"/>
                <w:b w:val="0"/>
                <w:bCs w:val="0"/>
                <w:color w:val="000000" w:themeColor="text1"/>
                <w:sz w:val="28"/>
                <w:szCs w:val="28"/>
                <w14:textFill>
                  <w14:solidFill>
                    <w14:schemeClr w14:val="tx1"/>
                  </w14:solidFill>
                </w14:textFill>
              </w:rPr>
            </w:pPr>
            <w:r>
              <w:rPr>
                <w:rFonts w:hint="eastAsia" w:ascii="新宋体" w:hAnsi="新宋体" w:eastAsia="新宋体" w:cs="新宋体"/>
                <w:b w:val="0"/>
                <w:bCs w:val="0"/>
                <w:color w:val="000000" w:themeColor="text1"/>
                <w:sz w:val="28"/>
                <w:szCs w:val="28"/>
                <w14:textFill>
                  <w14:solidFill>
                    <w14:schemeClr w14:val="tx1"/>
                  </w14:solidFill>
                </w14:textFill>
              </w:rPr>
              <w:t>成交金额（人民币万元）</w:t>
            </w:r>
          </w:p>
        </w:tc>
        <w:tc>
          <w:tcPr>
            <w:tcW w:w="4350" w:type="dxa"/>
            <w:shd w:val="clear" w:color="auto" w:fill="FFFFFF"/>
            <w:vAlign w:val="center"/>
          </w:tcPr>
          <w:p w14:paraId="09A51B46">
            <w:pPr>
              <w:pStyle w:val="11"/>
              <w:widowControl/>
              <w:spacing w:beforeAutospacing="0" w:afterAutospacing="0" w:line="480" w:lineRule="atLeast"/>
              <w:ind w:firstLine="420"/>
              <w:rPr>
                <w:rFonts w:hint="eastAsia" w:ascii="新宋体" w:hAnsi="新宋体" w:eastAsia="新宋体" w:cs="新宋体"/>
                <w:b w:val="0"/>
                <w:bCs w:val="0"/>
                <w:color w:val="000000" w:themeColor="text1"/>
                <w:sz w:val="28"/>
                <w:szCs w:val="28"/>
                <w14:textFill>
                  <w14:solidFill>
                    <w14:schemeClr w14:val="tx1"/>
                  </w14:solidFill>
                </w14:textFill>
              </w:rPr>
            </w:pPr>
            <w:r>
              <w:rPr>
                <w:rFonts w:hint="eastAsia" w:ascii="新宋体" w:hAnsi="新宋体" w:eastAsia="新宋体" w:cs="新宋体"/>
                <w:b w:val="0"/>
                <w:bCs w:val="0"/>
                <w:color w:val="000000" w:themeColor="text1"/>
                <w:sz w:val="28"/>
                <w:szCs w:val="28"/>
                <w14:textFill>
                  <w14:solidFill>
                    <w14:schemeClr w14:val="tx1"/>
                  </w14:solidFill>
                </w14:textFill>
              </w:rPr>
              <w:t>计费率（%）</w:t>
            </w:r>
          </w:p>
        </w:tc>
      </w:tr>
      <w:tr w14:paraId="42A1A753">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3705" w:type="dxa"/>
            <w:shd w:val="clear" w:color="auto" w:fill="FFFFFF"/>
            <w:vAlign w:val="center"/>
          </w:tcPr>
          <w:p w14:paraId="3E4AC0C4">
            <w:pPr>
              <w:pStyle w:val="11"/>
              <w:widowControl/>
              <w:spacing w:beforeAutospacing="0" w:afterAutospacing="0" w:line="480" w:lineRule="atLeast"/>
              <w:ind w:firstLine="420"/>
              <w:rPr>
                <w:rFonts w:hint="eastAsia" w:ascii="新宋体" w:hAnsi="新宋体" w:eastAsia="新宋体" w:cs="新宋体"/>
                <w:b w:val="0"/>
                <w:bCs w:val="0"/>
                <w:color w:val="000000" w:themeColor="text1"/>
                <w:sz w:val="28"/>
                <w:szCs w:val="28"/>
                <w14:textFill>
                  <w14:solidFill>
                    <w14:schemeClr w14:val="tx1"/>
                  </w14:solidFill>
                </w14:textFill>
              </w:rPr>
            </w:pPr>
            <w:r>
              <w:rPr>
                <w:rFonts w:hint="eastAsia" w:ascii="新宋体" w:hAnsi="新宋体" w:eastAsia="新宋体" w:cs="新宋体"/>
                <w:b w:val="0"/>
                <w:bCs w:val="0"/>
                <w:color w:val="000000" w:themeColor="text1"/>
                <w:sz w:val="28"/>
                <w:szCs w:val="28"/>
                <w14:textFill>
                  <w14:solidFill>
                    <w14:schemeClr w14:val="tx1"/>
                  </w14:solidFill>
                </w14:textFill>
              </w:rPr>
              <w:t>100（含）以下</w:t>
            </w:r>
          </w:p>
        </w:tc>
        <w:tc>
          <w:tcPr>
            <w:tcW w:w="4350" w:type="dxa"/>
            <w:shd w:val="clear" w:color="auto" w:fill="FFFFFF"/>
            <w:vAlign w:val="center"/>
          </w:tcPr>
          <w:p w14:paraId="1CF1973D">
            <w:pPr>
              <w:pStyle w:val="11"/>
              <w:widowControl/>
              <w:spacing w:beforeAutospacing="0" w:afterAutospacing="0" w:line="480" w:lineRule="atLeast"/>
              <w:ind w:firstLine="420"/>
              <w:rPr>
                <w:rFonts w:hint="eastAsia" w:ascii="新宋体" w:hAnsi="新宋体" w:eastAsia="新宋体" w:cs="新宋体"/>
                <w:b w:val="0"/>
                <w:bCs w:val="0"/>
                <w:color w:val="000000" w:themeColor="text1"/>
                <w:sz w:val="28"/>
                <w:szCs w:val="28"/>
                <w14:textFill>
                  <w14:solidFill>
                    <w14:schemeClr w14:val="tx1"/>
                  </w14:solidFill>
                </w14:textFill>
              </w:rPr>
            </w:pPr>
            <w:r>
              <w:rPr>
                <w:rFonts w:hint="eastAsia" w:ascii="新宋体" w:hAnsi="新宋体" w:eastAsia="新宋体" w:cs="新宋体"/>
                <w:b w:val="0"/>
                <w:bCs w:val="0"/>
                <w:color w:val="000000" w:themeColor="text1"/>
                <w:sz w:val="28"/>
                <w:szCs w:val="28"/>
                <w14:textFill>
                  <w14:solidFill>
                    <w14:schemeClr w14:val="tx1"/>
                  </w14:solidFill>
                </w14:textFill>
              </w:rPr>
              <w:t>1.2</w:t>
            </w:r>
          </w:p>
        </w:tc>
      </w:tr>
      <w:tr w14:paraId="0694167B">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3705" w:type="dxa"/>
            <w:shd w:val="clear" w:color="auto" w:fill="FFFFFF"/>
            <w:vAlign w:val="center"/>
          </w:tcPr>
          <w:p w14:paraId="2511FE41">
            <w:pPr>
              <w:pStyle w:val="11"/>
              <w:widowControl/>
              <w:spacing w:beforeAutospacing="0" w:afterAutospacing="0" w:line="480" w:lineRule="atLeast"/>
              <w:ind w:firstLine="420"/>
              <w:rPr>
                <w:rFonts w:hint="eastAsia" w:ascii="新宋体" w:hAnsi="新宋体" w:eastAsia="新宋体" w:cs="新宋体"/>
                <w:b w:val="0"/>
                <w:bCs w:val="0"/>
                <w:color w:val="000000" w:themeColor="text1"/>
                <w:sz w:val="28"/>
                <w:szCs w:val="28"/>
                <w14:textFill>
                  <w14:solidFill>
                    <w14:schemeClr w14:val="tx1"/>
                  </w14:solidFill>
                </w14:textFill>
              </w:rPr>
            </w:pPr>
            <w:r>
              <w:rPr>
                <w:rFonts w:hint="eastAsia" w:ascii="新宋体" w:hAnsi="新宋体" w:eastAsia="新宋体" w:cs="新宋体"/>
                <w:b w:val="0"/>
                <w:bCs w:val="0"/>
                <w:color w:val="000000" w:themeColor="text1"/>
                <w:sz w:val="28"/>
                <w:szCs w:val="28"/>
                <w14:textFill>
                  <w14:solidFill>
                    <w14:schemeClr w14:val="tx1"/>
                  </w14:solidFill>
                </w14:textFill>
              </w:rPr>
              <w:t>100-500（含）</w:t>
            </w:r>
          </w:p>
        </w:tc>
        <w:tc>
          <w:tcPr>
            <w:tcW w:w="4350" w:type="dxa"/>
            <w:shd w:val="clear" w:color="auto" w:fill="FFFFFF"/>
            <w:vAlign w:val="center"/>
          </w:tcPr>
          <w:p w14:paraId="2CEC2A57">
            <w:pPr>
              <w:pStyle w:val="11"/>
              <w:widowControl/>
              <w:spacing w:beforeAutospacing="0" w:afterAutospacing="0" w:line="480" w:lineRule="atLeast"/>
              <w:ind w:firstLine="420"/>
              <w:rPr>
                <w:rFonts w:hint="eastAsia" w:ascii="新宋体" w:hAnsi="新宋体" w:eastAsia="新宋体" w:cs="新宋体"/>
                <w:b w:val="0"/>
                <w:bCs w:val="0"/>
                <w:color w:val="000000" w:themeColor="text1"/>
                <w:sz w:val="28"/>
                <w:szCs w:val="28"/>
                <w14:textFill>
                  <w14:solidFill>
                    <w14:schemeClr w14:val="tx1"/>
                  </w14:solidFill>
                </w14:textFill>
              </w:rPr>
            </w:pPr>
            <w:r>
              <w:rPr>
                <w:rFonts w:hint="eastAsia" w:ascii="新宋体" w:hAnsi="新宋体" w:eastAsia="新宋体" w:cs="新宋体"/>
                <w:b w:val="0"/>
                <w:bCs w:val="0"/>
                <w:color w:val="000000" w:themeColor="text1"/>
                <w:sz w:val="28"/>
                <w:szCs w:val="28"/>
                <w14:textFill>
                  <w14:solidFill>
                    <w14:schemeClr w14:val="tx1"/>
                  </w14:solidFill>
                </w14:textFill>
              </w:rPr>
              <w:t>1</w:t>
            </w:r>
          </w:p>
        </w:tc>
      </w:tr>
      <w:tr w14:paraId="79894042">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rPr>
          <w:trHeight w:val="519" w:hRule="atLeast"/>
        </w:trPr>
        <w:tc>
          <w:tcPr>
            <w:tcW w:w="3705" w:type="dxa"/>
            <w:shd w:val="clear" w:color="auto" w:fill="FFFFFF"/>
            <w:vAlign w:val="center"/>
          </w:tcPr>
          <w:p w14:paraId="76170450">
            <w:pPr>
              <w:pStyle w:val="11"/>
              <w:widowControl/>
              <w:spacing w:beforeAutospacing="0" w:afterAutospacing="0" w:line="480" w:lineRule="atLeast"/>
              <w:ind w:firstLine="420"/>
              <w:rPr>
                <w:rFonts w:hint="eastAsia" w:ascii="新宋体" w:hAnsi="新宋体" w:eastAsia="新宋体" w:cs="新宋体"/>
                <w:b w:val="0"/>
                <w:bCs w:val="0"/>
                <w:color w:val="000000" w:themeColor="text1"/>
                <w:sz w:val="28"/>
                <w:szCs w:val="28"/>
                <w14:textFill>
                  <w14:solidFill>
                    <w14:schemeClr w14:val="tx1"/>
                  </w14:solidFill>
                </w14:textFill>
              </w:rPr>
            </w:pPr>
            <w:r>
              <w:rPr>
                <w:rFonts w:hint="eastAsia" w:ascii="新宋体" w:hAnsi="新宋体" w:eastAsia="新宋体" w:cs="新宋体"/>
                <w:b w:val="0"/>
                <w:bCs w:val="0"/>
                <w:color w:val="000000" w:themeColor="text1"/>
                <w:sz w:val="28"/>
                <w:szCs w:val="28"/>
                <w14:textFill>
                  <w14:solidFill>
                    <w14:schemeClr w14:val="tx1"/>
                  </w14:solidFill>
                </w14:textFill>
              </w:rPr>
              <w:t>500-1000（含）</w:t>
            </w:r>
          </w:p>
        </w:tc>
        <w:tc>
          <w:tcPr>
            <w:tcW w:w="4350" w:type="dxa"/>
            <w:shd w:val="clear" w:color="auto" w:fill="FFFFFF"/>
            <w:vAlign w:val="center"/>
          </w:tcPr>
          <w:p w14:paraId="0BD49318">
            <w:pPr>
              <w:pStyle w:val="11"/>
              <w:widowControl/>
              <w:spacing w:beforeAutospacing="0" w:afterAutospacing="0" w:line="480" w:lineRule="atLeast"/>
              <w:ind w:firstLine="420"/>
              <w:rPr>
                <w:rFonts w:hint="eastAsia" w:ascii="新宋体" w:hAnsi="新宋体" w:eastAsia="新宋体" w:cs="新宋体"/>
                <w:b w:val="0"/>
                <w:bCs w:val="0"/>
                <w:color w:val="000000" w:themeColor="text1"/>
                <w:sz w:val="28"/>
                <w:szCs w:val="28"/>
                <w14:textFill>
                  <w14:solidFill>
                    <w14:schemeClr w14:val="tx1"/>
                  </w14:solidFill>
                </w14:textFill>
              </w:rPr>
            </w:pPr>
            <w:r>
              <w:rPr>
                <w:rFonts w:hint="eastAsia" w:ascii="新宋体" w:hAnsi="新宋体" w:eastAsia="新宋体" w:cs="新宋体"/>
                <w:b w:val="0"/>
                <w:bCs w:val="0"/>
                <w:color w:val="000000" w:themeColor="text1"/>
                <w:sz w:val="28"/>
                <w:szCs w:val="28"/>
                <w14:textFill>
                  <w14:solidFill>
                    <w14:schemeClr w14:val="tx1"/>
                  </w14:solidFill>
                </w14:textFill>
              </w:rPr>
              <w:t>0.8</w:t>
            </w:r>
          </w:p>
        </w:tc>
      </w:tr>
      <w:tr w14:paraId="26114813">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3705" w:type="dxa"/>
            <w:shd w:val="clear" w:color="auto" w:fill="FFFFFF"/>
            <w:vAlign w:val="center"/>
          </w:tcPr>
          <w:p w14:paraId="09127E2D">
            <w:pPr>
              <w:pStyle w:val="11"/>
              <w:widowControl/>
              <w:spacing w:beforeAutospacing="0" w:afterAutospacing="0" w:line="480" w:lineRule="atLeast"/>
              <w:ind w:firstLine="420"/>
              <w:rPr>
                <w:rFonts w:hint="eastAsia" w:ascii="新宋体" w:hAnsi="新宋体" w:eastAsia="新宋体" w:cs="新宋体"/>
                <w:b w:val="0"/>
                <w:bCs w:val="0"/>
                <w:color w:val="000000" w:themeColor="text1"/>
                <w:sz w:val="28"/>
                <w:szCs w:val="28"/>
                <w14:textFill>
                  <w14:solidFill>
                    <w14:schemeClr w14:val="tx1"/>
                  </w14:solidFill>
                </w14:textFill>
              </w:rPr>
            </w:pPr>
            <w:r>
              <w:rPr>
                <w:rFonts w:hint="eastAsia" w:ascii="新宋体" w:hAnsi="新宋体" w:eastAsia="新宋体" w:cs="新宋体"/>
                <w:b w:val="0"/>
                <w:bCs w:val="0"/>
                <w:color w:val="000000" w:themeColor="text1"/>
                <w:sz w:val="28"/>
                <w:szCs w:val="28"/>
                <w14:textFill>
                  <w14:solidFill>
                    <w14:schemeClr w14:val="tx1"/>
                  </w14:solidFill>
                </w14:textFill>
              </w:rPr>
              <w:t>1000-5000（含）</w:t>
            </w:r>
          </w:p>
        </w:tc>
        <w:tc>
          <w:tcPr>
            <w:tcW w:w="4350" w:type="dxa"/>
            <w:shd w:val="clear" w:color="auto" w:fill="FFFFFF"/>
            <w:vAlign w:val="center"/>
          </w:tcPr>
          <w:p w14:paraId="13B16CCA">
            <w:pPr>
              <w:pStyle w:val="11"/>
              <w:widowControl/>
              <w:spacing w:beforeAutospacing="0" w:afterAutospacing="0" w:line="480" w:lineRule="atLeast"/>
              <w:ind w:firstLine="420"/>
              <w:rPr>
                <w:rFonts w:hint="eastAsia" w:ascii="新宋体" w:hAnsi="新宋体" w:eastAsia="新宋体" w:cs="新宋体"/>
                <w:b w:val="0"/>
                <w:bCs w:val="0"/>
                <w:color w:val="000000" w:themeColor="text1"/>
                <w:sz w:val="28"/>
                <w:szCs w:val="28"/>
                <w14:textFill>
                  <w14:solidFill>
                    <w14:schemeClr w14:val="tx1"/>
                  </w14:solidFill>
                </w14:textFill>
              </w:rPr>
            </w:pPr>
            <w:r>
              <w:rPr>
                <w:rFonts w:hint="eastAsia" w:ascii="新宋体" w:hAnsi="新宋体" w:eastAsia="新宋体" w:cs="新宋体"/>
                <w:b w:val="0"/>
                <w:bCs w:val="0"/>
                <w:color w:val="000000" w:themeColor="text1"/>
                <w:sz w:val="28"/>
                <w:szCs w:val="28"/>
                <w14:textFill>
                  <w14:solidFill>
                    <w14:schemeClr w14:val="tx1"/>
                  </w14:solidFill>
                </w14:textFill>
              </w:rPr>
              <w:t>0.6</w:t>
            </w:r>
          </w:p>
        </w:tc>
      </w:tr>
      <w:tr w14:paraId="05D8DB6A">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3705" w:type="dxa"/>
            <w:shd w:val="clear" w:color="auto" w:fill="FFFFFF"/>
            <w:vAlign w:val="center"/>
          </w:tcPr>
          <w:p w14:paraId="0249A998">
            <w:pPr>
              <w:pStyle w:val="11"/>
              <w:widowControl/>
              <w:spacing w:beforeAutospacing="0" w:afterAutospacing="0" w:line="480" w:lineRule="atLeast"/>
              <w:ind w:firstLine="420"/>
              <w:rPr>
                <w:rFonts w:hint="eastAsia" w:ascii="新宋体" w:hAnsi="新宋体" w:eastAsia="新宋体" w:cs="新宋体"/>
                <w:b w:val="0"/>
                <w:bCs w:val="0"/>
                <w:color w:val="000000" w:themeColor="text1"/>
                <w:sz w:val="28"/>
                <w:szCs w:val="28"/>
                <w14:textFill>
                  <w14:solidFill>
                    <w14:schemeClr w14:val="tx1"/>
                  </w14:solidFill>
                </w14:textFill>
              </w:rPr>
            </w:pPr>
            <w:r>
              <w:rPr>
                <w:rFonts w:hint="eastAsia" w:ascii="新宋体" w:hAnsi="新宋体" w:eastAsia="新宋体" w:cs="新宋体"/>
                <w:b w:val="0"/>
                <w:bCs w:val="0"/>
                <w:color w:val="000000" w:themeColor="text1"/>
                <w:sz w:val="28"/>
                <w:szCs w:val="28"/>
                <w14:textFill>
                  <w14:solidFill>
                    <w14:schemeClr w14:val="tx1"/>
                  </w14:solidFill>
                </w14:textFill>
              </w:rPr>
              <w:t>5000以上</w:t>
            </w:r>
          </w:p>
        </w:tc>
        <w:tc>
          <w:tcPr>
            <w:tcW w:w="4350" w:type="dxa"/>
            <w:shd w:val="clear" w:color="auto" w:fill="FFFFFF"/>
            <w:vAlign w:val="center"/>
          </w:tcPr>
          <w:p w14:paraId="40A99EBC">
            <w:pPr>
              <w:pStyle w:val="11"/>
              <w:widowControl/>
              <w:spacing w:beforeAutospacing="0" w:afterAutospacing="0" w:line="480" w:lineRule="atLeast"/>
              <w:ind w:firstLine="420"/>
              <w:rPr>
                <w:rFonts w:hint="eastAsia" w:ascii="新宋体" w:hAnsi="新宋体" w:eastAsia="新宋体" w:cs="新宋体"/>
                <w:b w:val="0"/>
                <w:bCs w:val="0"/>
                <w:color w:val="000000" w:themeColor="text1"/>
                <w:sz w:val="28"/>
                <w:szCs w:val="28"/>
                <w14:textFill>
                  <w14:solidFill>
                    <w14:schemeClr w14:val="tx1"/>
                  </w14:solidFill>
                </w14:textFill>
              </w:rPr>
            </w:pPr>
            <w:r>
              <w:rPr>
                <w:rFonts w:hint="eastAsia" w:ascii="新宋体" w:hAnsi="新宋体" w:eastAsia="新宋体" w:cs="新宋体"/>
                <w:b w:val="0"/>
                <w:bCs w:val="0"/>
                <w:color w:val="000000" w:themeColor="text1"/>
                <w:sz w:val="28"/>
                <w:szCs w:val="28"/>
                <w14:textFill>
                  <w14:solidFill>
                    <w14:schemeClr w14:val="tx1"/>
                  </w14:solidFill>
                </w14:textFill>
              </w:rPr>
              <w:t>0.4</w:t>
            </w:r>
          </w:p>
        </w:tc>
      </w:tr>
    </w:tbl>
    <w:p w14:paraId="243BF739">
      <w:pPr>
        <w:pStyle w:val="2"/>
        <w:rPr>
          <w:rFonts w:hint="eastAsia"/>
        </w:rPr>
      </w:pPr>
    </w:p>
    <w:p w14:paraId="13EF4E13">
      <w:pPr>
        <w:rPr>
          <w:rFonts w:hint="eastAsia"/>
        </w:rPr>
      </w:pPr>
    </w:p>
    <w:tbl>
      <w:tblPr>
        <w:tblStyle w:val="12"/>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613"/>
        <w:gridCol w:w="5967"/>
      </w:tblGrid>
      <w:tr w14:paraId="39943A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3" w:hRule="atLeast"/>
          <w:jc w:val="center"/>
        </w:trPr>
        <w:tc>
          <w:tcPr>
            <w:tcW w:w="7580" w:type="dxa"/>
            <w:gridSpan w:val="2"/>
            <w:noWrap w:val="0"/>
            <w:vAlign w:val="center"/>
          </w:tcPr>
          <w:p w14:paraId="6F71F18F">
            <w:pPr>
              <w:keepNext w:val="0"/>
              <w:keepLines w:val="0"/>
              <w:pageBreakBefore w:val="0"/>
              <w:kinsoku/>
              <w:wordWrap/>
              <w:overflowPunct/>
              <w:topLinePunct w:val="0"/>
              <w:autoSpaceDE/>
              <w:autoSpaceDN/>
              <w:bidi w:val="0"/>
              <w:adjustRightInd/>
              <w:snapToGrid/>
              <w:spacing w:line="360" w:lineRule="exact"/>
              <w:jc w:val="center"/>
              <w:textAlignment w:val="auto"/>
              <w:rPr>
                <w:rFonts w:hint="eastAsia" w:ascii="新宋体" w:hAnsi="新宋体" w:eastAsia="新宋体" w:cs="新宋体"/>
                <w:b w:val="0"/>
                <w:bCs w:val="0"/>
                <w:i w:val="0"/>
                <w:iCs w:val="0"/>
                <w:sz w:val="28"/>
                <w:szCs w:val="28"/>
                <w:highlight w:val="none"/>
                <w:u w:val="none"/>
                <w:lang w:val="en-US" w:eastAsia="zh-CN"/>
              </w:rPr>
            </w:pPr>
            <w:r>
              <w:rPr>
                <w:rFonts w:hint="eastAsia" w:ascii="新宋体" w:hAnsi="新宋体" w:eastAsia="新宋体" w:cs="新宋体"/>
                <w:b/>
                <w:bCs/>
                <w:i w:val="0"/>
                <w:iCs w:val="0"/>
                <w:sz w:val="28"/>
                <w:szCs w:val="28"/>
                <w:highlight w:val="none"/>
                <w:u w:val="none"/>
                <w:lang w:val="en-US" w:eastAsia="zh-CN"/>
              </w:rPr>
              <w:t>交易服务费收款账户</w:t>
            </w:r>
          </w:p>
        </w:tc>
      </w:tr>
      <w:tr w14:paraId="6F5258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3" w:hRule="atLeast"/>
          <w:jc w:val="center"/>
        </w:trPr>
        <w:tc>
          <w:tcPr>
            <w:tcW w:w="1613" w:type="dxa"/>
            <w:noWrap w:val="0"/>
            <w:vAlign w:val="center"/>
          </w:tcPr>
          <w:p w14:paraId="180C0404">
            <w:pPr>
              <w:keepNext w:val="0"/>
              <w:keepLines w:val="0"/>
              <w:pageBreakBefore w:val="0"/>
              <w:kinsoku/>
              <w:wordWrap/>
              <w:overflowPunct/>
              <w:topLinePunct w:val="0"/>
              <w:autoSpaceDE/>
              <w:autoSpaceDN/>
              <w:bidi w:val="0"/>
              <w:adjustRightInd/>
              <w:snapToGrid/>
              <w:spacing w:line="360" w:lineRule="exact"/>
              <w:jc w:val="center"/>
              <w:textAlignment w:val="auto"/>
              <w:rPr>
                <w:rFonts w:hint="eastAsia" w:ascii="新宋体" w:hAnsi="新宋体" w:eastAsia="新宋体" w:cs="新宋体"/>
                <w:b/>
                <w:bCs/>
                <w:i w:val="0"/>
                <w:iCs w:val="0"/>
                <w:sz w:val="28"/>
                <w:szCs w:val="28"/>
                <w:highlight w:val="none"/>
                <w:u w:val="none"/>
                <w:lang w:val="en-US" w:eastAsia="zh-CN"/>
              </w:rPr>
            </w:pPr>
            <w:r>
              <w:rPr>
                <w:rFonts w:hint="eastAsia" w:ascii="新宋体" w:hAnsi="新宋体" w:eastAsia="新宋体" w:cs="新宋体"/>
                <w:b/>
                <w:bCs/>
                <w:i w:val="0"/>
                <w:iCs w:val="0"/>
                <w:sz w:val="28"/>
                <w:szCs w:val="28"/>
                <w:highlight w:val="none"/>
                <w:u w:val="none"/>
                <w:lang w:val="en-US" w:eastAsia="zh-CN"/>
              </w:rPr>
              <w:t>户名</w:t>
            </w:r>
          </w:p>
        </w:tc>
        <w:tc>
          <w:tcPr>
            <w:tcW w:w="5967" w:type="dxa"/>
            <w:noWrap w:val="0"/>
            <w:vAlign w:val="center"/>
          </w:tcPr>
          <w:p w14:paraId="79474ABC">
            <w:pPr>
              <w:keepNext w:val="0"/>
              <w:keepLines w:val="0"/>
              <w:pageBreakBefore w:val="0"/>
              <w:kinsoku/>
              <w:wordWrap/>
              <w:overflowPunct/>
              <w:topLinePunct w:val="0"/>
              <w:autoSpaceDE/>
              <w:autoSpaceDN/>
              <w:bidi w:val="0"/>
              <w:adjustRightInd/>
              <w:snapToGrid/>
              <w:spacing w:line="360" w:lineRule="exact"/>
              <w:jc w:val="center"/>
              <w:textAlignment w:val="auto"/>
              <w:rPr>
                <w:rFonts w:hint="eastAsia" w:ascii="新宋体" w:hAnsi="新宋体" w:eastAsia="新宋体" w:cs="新宋体"/>
                <w:b w:val="0"/>
                <w:bCs w:val="0"/>
                <w:i w:val="0"/>
                <w:iCs w:val="0"/>
                <w:sz w:val="28"/>
                <w:szCs w:val="28"/>
                <w:highlight w:val="none"/>
                <w:u w:val="none"/>
                <w:lang w:val="en-US" w:eastAsia="zh-CN"/>
              </w:rPr>
            </w:pPr>
            <w:r>
              <w:rPr>
                <w:rFonts w:hint="eastAsia" w:ascii="新宋体" w:hAnsi="新宋体" w:eastAsia="新宋体" w:cs="新宋体"/>
                <w:b w:val="0"/>
                <w:bCs w:val="0"/>
                <w:i w:val="0"/>
                <w:iCs w:val="0"/>
                <w:sz w:val="28"/>
                <w:szCs w:val="28"/>
                <w:highlight w:val="none"/>
                <w:u w:val="none"/>
                <w:lang w:val="en-US" w:eastAsia="zh-CN"/>
              </w:rPr>
              <w:t>屯昌县农村产权交易中心有限公司</w:t>
            </w:r>
          </w:p>
        </w:tc>
      </w:tr>
      <w:tr w14:paraId="51244B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2" w:hRule="atLeast"/>
          <w:jc w:val="center"/>
        </w:trPr>
        <w:tc>
          <w:tcPr>
            <w:tcW w:w="1613" w:type="dxa"/>
            <w:noWrap w:val="0"/>
            <w:vAlign w:val="center"/>
          </w:tcPr>
          <w:p w14:paraId="64F4B34D">
            <w:pPr>
              <w:keepNext w:val="0"/>
              <w:keepLines w:val="0"/>
              <w:pageBreakBefore w:val="0"/>
              <w:kinsoku/>
              <w:wordWrap/>
              <w:overflowPunct/>
              <w:topLinePunct w:val="0"/>
              <w:autoSpaceDE/>
              <w:autoSpaceDN/>
              <w:bidi w:val="0"/>
              <w:adjustRightInd/>
              <w:snapToGrid/>
              <w:spacing w:line="360" w:lineRule="exact"/>
              <w:jc w:val="center"/>
              <w:textAlignment w:val="auto"/>
              <w:rPr>
                <w:rFonts w:hint="eastAsia" w:ascii="新宋体" w:hAnsi="新宋体" w:eastAsia="新宋体" w:cs="新宋体"/>
                <w:b/>
                <w:bCs/>
                <w:i w:val="0"/>
                <w:iCs w:val="0"/>
                <w:sz w:val="28"/>
                <w:szCs w:val="28"/>
                <w:highlight w:val="none"/>
                <w:u w:val="none"/>
                <w:lang w:val="en-US" w:eastAsia="zh-CN"/>
              </w:rPr>
            </w:pPr>
            <w:r>
              <w:rPr>
                <w:rFonts w:hint="eastAsia" w:ascii="新宋体" w:hAnsi="新宋体" w:eastAsia="新宋体" w:cs="新宋体"/>
                <w:b/>
                <w:bCs/>
                <w:i w:val="0"/>
                <w:iCs w:val="0"/>
                <w:sz w:val="28"/>
                <w:szCs w:val="28"/>
                <w:highlight w:val="none"/>
                <w:u w:val="none"/>
                <w:lang w:val="en-US" w:eastAsia="zh-CN"/>
              </w:rPr>
              <w:t>开户行</w:t>
            </w:r>
          </w:p>
        </w:tc>
        <w:tc>
          <w:tcPr>
            <w:tcW w:w="5967" w:type="dxa"/>
            <w:noWrap w:val="0"/>
            <w:vAlign w:val="center"/>
          </w:tcPr>
          <w:p w14:paraId="401CB58E">
            <w:pPr>
              <w:keepNext w:val="0"/>
              <w:keepLines w:val="0"/>
              <w:pageBreakBefore w:val="0"/>
              <w:kinsoku/>
              <w:wordWrap/>
              <w:overflowPunct/>
              <w:topLinePunct w:val="0"/>
              <w:autoSpaceDE/>
              <w:autoSpaceDN/>
              <w:bidi w:val="0"/>
              <w:adjustRightInd/>
              <w:snapToGrid/>
              <w:spacing w:line="360" w:lineRule="exact"/>
              <w:jc w:val="center"/>
              <w:textAlignment w:val="auto"/>
              <w:rPr>
                <w:rFonts w:hint="eastAsia" w:ascii="新宋体" w:hAnsi="新宋体" w:eastAsia="新宋体" w:cs="新宋体"/>
                <w:b w:val="0"/>
                <w:bCs w:val="0"/>
                <w:i w:val="0"/>
                <w:iCs w:val="0"/>
                <w:sz w:val="28"/>
                <w:szCs w:val="28"/>
                <w:highlight w:val="none"/>
                <w:u w:val="none"/>
                <w:lang w:val="en-US" w:eastAsia="zh-CN"/>
              </w:rPr>
            </w:pPr>
            <w:r>
              <w:rPr>
                <w:rFonts w:hint="eastAsia" w:ascii="新宋体" w:hAnsi="新宋体" w:eastAsia="新宋体" w:cs="新宋体"/>
                <w:b w:val="0"/>
                <w:bCs w:val="0"/>
                <w:i w:val="0"/>
                <w:iCs w:val="0"/>
                <w:sz w:val="28"/>
                <w:szCs w:val="28"/>
                <w:highlight w:val="none"/>
                <w:u w:val="none"/>
                <w:lang w:val="en-US" w:eastAsia="zh-CN"/>
              </w:rPr>
              <w:t>海南农商行屯昌支行</w:t>
            </w:r>
          </w:p>
        </w:tc>
      </w:tr>
      <w:tr w14:paraId="5E49B9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2" w:hRule="atLeast"/>
          <w:jc w:val="center"/>
        </w:trPr>
        <w:tc>
          <w:tcPr>
            <w:tcW w:w="1613" w:type="dxa"/>
            <w:noWrap w:val="0"/>
            <w:vAlign w:val="center"/>
          </w:tcPr>
          <w:p w14:paraId="1F446DC0">
            <w:pPr>
              <w:keepNext w:val="0"/>
              <w:keepLines w:val="0"/>
              <w:pageBreakBefore w:val="0"/>
              <w:kinsoku/>
              <w:wordWrap/>
              <w:overflowPunct/>
              <w:topLinePunct w:val="0"/>
              <w:autoSpaceDE/>
              <w:autoSpaceDN/>
              <w:bidi w:val="0"/>
              <w:adjustRightInd/>
              <w:snapToGrid/>
              <w:spacing w:line="360" w:lineRule="exact"/>
              <w:jc w:val="center"/>
              <w:textAlignment w:val="auto"/>
              <w:rPr>
                <w:rFonts w:hint="eastAsia" w:ascii="新宋体" w:hAnsi="新宋体" w:eastAsia="新宋体" w:cs="新宋体"/>
                <w:b/>
                <w:bCs/>
                <w:i w:val="0"/>
                <w:iCs w:val="0"/>
                <w:sz w:val="28"/>
                <w:szCs w:val="28"/>
                <w:highlight w:val="none"/>
                <w:u w:val="none"/>
                <w:lang w:val="en-US" w:eastAsia="zh-CN"/>
              </w:rPr>
            </w:pPr>
            <w:r>
              <w:rPr>
                <w:rFonts w:hint="eastAsia" w:ascii="新宋体" w:hAnsi="新宋体" w:eastAsia="新宋体" w:cs="新宋体"/>
                <w:b/>
                <w:bCs/>
                <w:i w:val="0"/>
                <w:iCs w:val="0"/>
                <w:sz w:val="28"/>
                <w:szCs w:val="28"/>
                <w:highlight w:val="none"/>
                <w:u w:val="none"/>
                <w:lang w:val="en-US" w:eastAsia="zh-CN"/>
              </w:rPr>
              <w:t>账号</w:t>
            </w:r>
          </w:p>
        </w:tc>
        <w:tc>
          <w:tcPr>
            <w:tcW w:w="5967" w:type="dxa"/>
            <w:noWrap w:val="0"/>
            <w:vAlign w:val="center"/>
          </w:tcPr>
          <w:p w14:paraId="7DFE5017">
            <w:pPr>
              <w:pStyle w:val="11"/>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20" w:lineRule="atLeast"/>
              <w:ind w:left="0" w:right="0"/>
              <w:jc w:val="center"/>
              <w:rPr>
                <w:rFonts w:hint="eastAsia" w:ascii="新宋体" w:hAnsi="新宋体" w:eastAsia="新宋体" w:cs="新宋体"/>
                <w:b w:val="0"/>
                <w:bCs w:val="0"/>
                <w:i w:val="0"/>
                <w:iCs w:val="0"/>
                <w:sz w:val="28"/>
                <w:szCs w:val="28"/>
                <w:highlight w:val="none"/>
                <w:u w:val="none"/>
                <w:lang w:val="en-US" w:eastAsia="zh-CN"/>
              </w:rPr>
            </w:pPr>
            <w:r>
              <w:rPr>
                <w:rFonts w:hint="eastAsia" w:ascii="新宋体" w:hAnsi="新宋体" w:eastAsia="新宋体" w:cs="新宋体"/>
                <w:b w:val="0"/>
                <w:bCs w:val="0"/>
                <w:i w:val="0"/>
                <w:iCs w:val="0"/>
                <w:kern w:val="2"/>
                <w:sz w:val="28"/>
                <w:szCs w:val="28"/>
                <w:highlight w:val="none"/>
                <w:u w:val="none"/>
                <w:lang w:val="en-US" w:eastAsia="zh-CN" w:bidi="ar-SA"/>
              </w:rPr>
              <w:t>1021644500000152</w:t>
            </w:r>
          </w:p>
        </w:tc>
      </w:tr>
    </w:tbl>
    <w:p w14:paraId="0E5B88F2">
      <w:pPr>
        <w:spacing w:line="520" w:lineRule="exact"/>
        <w:ind w:firstLine="560" w:firstLineChars="200"/>
        <w:rPr>
          <w:rFonts w:hint="eastAsia" w:ascii="新宋体" w:hAnsi="新宋体" w:eastAsia="新宋体" w:cs="Times New Roman"/>
          <w:color w:val="auto"/>
          <w:sz w:val="28"/>
          <w:szCs w:val="28"/>
        </w:rPr>
      </w:pPr>
    </w:p>
    <w:p w14:paraId="65ED6E0D">
      <w:pPr>
        <w:spacing w:line="520" w:lineRule="exact"/>
        <w:ind w:firstLine="560" w:firstLineChars="200"/>
        <w:rPr>
          <w:rFonts w:ascii="新宋体" w:hAnsi="新宋体" w:eastAsia="新宋体" w:cs="Times New Roman"/>
          <w:b w:val="0"/>
          <w:bCs w:val="0"/>
          <w:color w:val="auto"/>
          <w:sz w:val="28"/>
          <w:szCs w:val="28"/>
        </w:rPr>
      </w:pPr>
      <w:r>
        <w:rPr>
          <w:rFonts w:hint="eastAsia" w:ascii="新宋体" w:hAnsi="新宋体" w:eastAsia="新宋体" w:cs="Times New Roman"/>
          <w:color w:val="auto"/>
          <w:sz w:val="28"/>
          <w:szCs w:val="28"/>
        </w:rPr>
        <w:t>24、未成交的竞买方交易保证金，平台将按《</w:t>
      </w:r>
      <w:r>
        <w:rPr>
          <w:rFonts w:hint="eastAsia" w:ascii="新宋体" w:hAnsi="新宋体" w:eastAsia="新宋体" w:cs="Times New Roman"/>
          <w:color w:val="auto"/>
          <w:sz w:val="28"/>
          <w:szCs w:val="28"/>
          <w:lang w:val="en-US" w:eastAsia="zh-CN"/>
        </w:rPr>
        <w:t>屯昌县农村产权交易中心</w:t>
      </w:r>
      <w:r>
        <w:rPr>
          <w:rFonts w:hint="eastAsia" w:ascii="新宋体" w:hAnsi="新宋体" w:eastAsia="新宋体" w:cs="Times New Roman"/>
          <w:color w:val="auto"/>
          <w:sz w:val="28"/>
          <w:szCs w:val="28"/>
        </w:rPr>
        <w:t>有限公司交易保证金操作规则（试行）》有关规定办理。</w:t>
      </w:r>
      <w:r>
        <w:rPr>
          <w:rFonts w:hint="eastAsia" w:ascii="新宋体" w:hAnsi="新宋体" w:eastAsia="新宋体" w:cs="Times New Roman"/>
          <w:b w:val="0"/>
          <w:bCs w:val="0"/>
          <w:color w:val="auto"/>
          <w:sz w:val="28"/>
          <w:szCs w:val="28"/>
        </w:rPr>
        <w:t>竞买方以银行转账方式缴付交易保证金的，其交易保证金退回原划款账户；竞买方以现金方式缴付交易保证金的，其交易保证金退还其提供的银行账户。</w:t>
      </w:r>
    </w:p>
    <w:p w14:paraId="62FD472A">
      <w:pPr>
        <w:spacing w:line="520" w:lineRule="exact"/>
        <w:ind w:firstLine="560" w:firstLineChars="200"/>
        <w:rPr>
          <w:rFonts w:ascii="新宋体" w:hAnsi="新宋体" w:eastAsia="新宋体" w:cs="Times New Roman"/>
          <w:b w:val="0"/>
          <w:bCs w:val="0"/>
          <w:color w:val="auto"/>
          <w:sz w:val="28"/>
          <w:szCs w:val="28"/>
        </w:rPr>
      </w:pPr>
      <w:r>
        <w:rPr>
          <w:rFonts w:hint="eastAsia" w:ascii="新宋体" w:hAnsi="新宋体" w:eastAsia="新宋体" w:cs="Times New Roman"/>
          <w:b w:val="0"/>
          <w:bCs w:val="0"/>
          <w:color w:val="auto"/>
          <w:sz w:val="28"/>
          <w:szCs w:val="28"/>
        </w:rPr>
        <w:t>25、竞买方未按信息公告内容或交易流程要求履行交易程序的，平台有权扣除交易保证金作为相关方的补偿。</w:t>
      </w:r>
    </w:p>
    <w:p w14:paraId="6A4A3FA1">
      <w:pPr>
        <w:spacing w:line="520" w:lineRule="exact"/>
        <w:ind w:firstLine="560" w:firstLineChars="200"/>
        <w:rPr>
          <w:rFonts w:ascii="新宋体" w:hAnsi="新宋体" w:eastAsia="新宋体" w:cs="Times New Roman"/>
          <w:color w:val="auto"/>
          <w:sz w:val="28"/>
          <w:szCs w:val="28"/>
        </w:rPr>
      </w:pPr>
      <w:r>
        <w:rPr>
          <w:rFonts w:hint="eastAsia" w:ascii="新宋体" w:hAnsi="新宋体" w:eastAsia="新宋体" w:cs="Times New Roman"/>
          <w:color w:val="auto"/>
          <w:sz w:val="28"/>
          <w:szCs w:val="28"/>
        </w:rPr>
        <w:t>26、交易双方自行办理标的交易价款结算，并进行标的交割。有需要办理变更、过户登记手续的，交易双方凭交易合同等材料到相关部门办理。</w:t>
      </w:r>
    </w:p>
    <w:p w14:paraId="709839DA">
      <w:pPr>
        <w:spacing w:line="520" w:lineRule="exact"/>
        <w:ind w:firstLine="560" w:firstLineChars="200"/>
        <w:rPr>
          <w:rFonts w:ascii="新宋体" w:hAnsi="新宋体" w:eastAsia="新宋体" w:cs="Times New Roman"/>
          <w:color w:val="auto"/>
          <w:sz w:val="28"/>
          <w:szCs w:val="28"/>
        </w:rPr>
      </w:pPr>
      <w:r>
        <w:rPr>
          <w:rFonts w:hint="eastAsia" w:ascii="新宋体" w:hAnsi="新宋体" w:eastAsia="新宋体" w:cs="Times New Roman"/>
          <w:color w:val="auto"/>
          <w:sz w:val="28"/>
          <w:szCs w:val="28"/>
        </w:rPr>
        <w:t>27、其他未尽事宜，按照服务协议、交易细则、交易文件及有关规定执行。</w:t>
      </w:r>
    </w:p>
    <w:p w14:paraId="05C7DCE7">
      <w:pPr>
        <w:spacing w:line="520" w:lineRule="exact"/>
        <w:ind w:firstLine="560" w:firstLineChars="200"/>
        <w:rPr>
          <w:rFonts w:ascii="新宋体" w:hAnsi="新宋体" w:eastAsia="新宋体" w:cs="Times New Roman"/>
          <w:color w:val="auto"/>
          <w:sz w:val="28"/>
          <w:szCs w:val="28"/>
        </w:rPr>
      </w:pPr>
      <w:r>
        <w:rPr>
          <w:rFonts w:hint="eastAsia" w:ascii="新宋体" w:hAnsi="新宋体" w:eastAsia="新宋体" w:cs="Times New Roman"/>
          <w:color w:val="auto"/>
          <w:sz w:val="28"/>
          <w:szCs w:val="28"/>
        </w:rPr>
        <w:t>28、本《网络竞价须知》有关条款的解释权归平台所有，平台有权根据相关法律、法规进行变更和修订。</w:t>
      </w:r>
    </w:p>
    <w:p w14:paraId="707C359B">
      <w:pPr>
        <w:pStyle w:val="2"/>
        <w:ind w:left="2250" w:hanging="1200"/>
        <w:rPr>
          <w:color w:val="auto"/>
        </w:rPr>
      </w:pPr>
    </w:p>
    <w:p w14:paraId="4AC5A91F">
      <w:pPr>
        <w:rPr>
          <w:rFonts w:hint="eastAsia" w:eastAsiaTheme="minorEastAsia"/>
          <w:color w:val="auto"/>
          <w:lang w:eastAsia="zh-CN"/>
        </w:rPr>
      </w:pPr>
    </w:p>
    <w:p w14:paraId="7C6968E4">
      <w:pPr>
        <w:pStyle w:val="4"/>
        <w:rPr>
          <w:rFonts w:hint="eastAsia"/>
          <w:lang w:eastAsia="zh-CN"/>
        </w:rPr>
      </w:pPr>
    </w:p>
    <w:p w14:paraId="7E626F67">
      <w:pPr>
        <w:pStyle w:val="6"/>
        <w:rPr>
          <w:color w:val="auto"/>
        </w:rPr>
      </w:pPr>
    </w:p>
    <w:p w14:paraId="5B71BE9B">
      <w:pPr>
        <w:spacing w:line="520" w:lineRule="exact"/>
        <w:rPr>
          <w:color w:val="auto"/>
        </w:rPr>
      </w:pPr>
      <w:r>
        <w:rPr>
          <w:rFonts w:hint="eastAsia" w:ascii="Times New Roman" w:hAnsi="Times New Roman"/>
          <w:color w:val="auto"/>
          <w:sz w:val="32"/>
          <w:szCs w:val="32"/>
        </w:rPr>
        <w:t>已详细阅读此竞价须知，对此竞价须知无异议。</w:t>
      </w:r>
    </w:p>
    <w:p w14:paraId="76D8FB59">
      <w:pPr>
        <w:spacing w:line="520" w:lineRule="exact"/>
        <w:ind w:firstLine="3840" w:firstLineChars="1200"/>
        <w:rPr>
          <w:rFonts w:hint="eastAsia" w:ascii="Times New Roman" w:hAnsi="Times New Roman"/>
          <w:color w:val="auto"/>
          <w:sz w:val="32"/>
          <w:szCs w:val="32"/>
        </w:rPr>
      </w:pPr>
    </w:p>
    <w:p w14:paraId="54F72347">
      <w:pPr>
        <w:spacing w:line="520" w:lineRule="exact"/>
        <w:ind w:firstLine="4800" w:firstLineChars="1500"/>
        <w:rPr>
          <w:rFonts w:hint="eastAsia"/>
          <w:lang w:val="en-US" w:eastAsia="zh-CN"/>
        </w:rPr>
      </w:pPr>
      <w:r>
        <w:rPr>
          <w:rFonts w:hint="eastAsia" w:ascii="Times New Roman" w:hAnsi="Times New Roman"/>
          <w:color w:val="auto"/>
          <w:sz w:val="32"/>
          <w:szCs w:val="32"/>
          <w:lang w:val="en-US" w:eastAsia="zh-CN"/>
        </w:rPr>
        <w:t>竞买方</w:t>
      </w:r>
      <w:r>
        <w:rPr>
          <w:rFonts w:hint="eastAsia" w:ascii="Times New Roman" w:hAnsi="Times New Roman"/>
          <w:color w:val="auto"/>
          <w:sz w:val="32"/>
          <w:szCs w:val="32"/>
        </w:rPr>
        <w:t>（</w:t>
      </w:r>
      <w:r>
        <w:rPr>
          <w:rFonts w:hint="eastAsia" w:ascii="Times New Roman" w:hAnsi="Times New Roman"/>
          <w:color w:val="auto"/>
          <w:sz w:val="32"/>
          <w:szCs w:val="32"/>
          <w:lang w:val="en-US" w:eastAsia="zh-CN"/>
        </w:rPr>
        <w:t>签</w:t>
      </w:r>
      <w:r>
        <w:rPr>
          <w:rFonts w:hint="eastAsia" w:ascii="Times New Roman" w:hAnsi="Times New Roman"/>
          <w:color w:val="auto"/>
          <w:sz w:val="32"/>
          <w:szCs w:val="32"/>
        </w:rPr>
        <w:t>章）：</w:t>
      </w:r>
    </w:p>
    <w:p w14:paraId="23E78C29">
      <w:pPr>
        <w:bidi w:val="0"/>
        <w:rPr>
          <w:rFonts w:hint="eastAsia"/>
        </w:rPr>
      </w:pPr>
      <w:r>
        <w:rPr>
          <w:rFonts w:hint="eastAsia"/>
        </w:rPr>
        <w:t xml:space="preserve">            </w:t>
      </w:r>
      <w:r>
        <w:rPr>
          <w:rFonts w:hint="eastAsia"/>
          <w:sz w:val="32"/>
          <w:szCs w:val="32"/>
        </w:rPr>
        <w:t xml:space="preserve">        </w:t>
      </w:r>
      <w:r>
        <w:rPr>
          <w:rFonts w:hint="eastAsia"/>
          <w:sz w:val="32"/>
          <w:szCs w:val="32"/>
          <w:lang w:val="en-US" w:eastAsia="zh-CN"/>
        </w:rPr>
        <w:t xml:space="preserve">      </w:t>
      </w:r>
      <w:r>
        <w:rPr>
          <w:rFonts w:hint="eastAsia"/>
          <w:sz w:val="32"/>
          <w:szCs w:val="32"/>
        </w:rPr>
        <w:t xml:space="preserve">  </w:t>
      </w:r>
      <w:r>
        <w:rPr>
          <w:rFonts w:hint="eastAsia"/>
          <w:sz w:val="32"/>
          <w:szCs w:val="32"/>
          <w:lang w:val="en-US" w:eastAsia="zh-CN"/>
        </w:rPr>
        <w:t xml:space="preserve">         </w:t>
      </w:r>
      <w:r>
        <w:rPr>
          <w:rFonts w:hint="eastAsia"/>
          <w:sz w:val="32"/>
          <w:szCs w:val="32"/>
          <w:u w:val="single"/>
          <w:lang w:val="en-US" w:eastAsia="zh-CN"/>
        </w:rPr>
        <w:t xml:space="preserve">   </w:t>
      </w:r>
      <w:r>
        <w:rPr>
          <w:rFonts w:hint="eastAsia"/>
          <w:sz w:val="32"/>
          <w:szCs w:val="32"/>
          <w:u w:val="single"/>
        </w:rPr>
        <w:t xml:space="preserve"> </w:t>
      </w:r>
      <w:r>
        <w:rPr>
          <w:rFonts w:hint="eastAsia"/>
          <w:sz w:val="32"/>
          <w:szCs w:val="32"/>
          <w:u w:val="single"/>
          <w:lang w:val="en-US" w:eastAsia="zh-CN"/>
        </w:rPr>
        <w:t xml:space="preserve"> </w:t>
      </w:r>
      <w:r>
        <w:rPr>
          <w:rFonts w:hint="eastAsia"/>
          <w:sz w:val="32"/>
          <w:szCs w:val="32"/>
        </w:rPr>
        <w:t>年</w:t>
      </w:r>
      <w:r>
        <w:rPr>
          <w:rFonts w:hint="eastAsia"/>
          <w:sz w:val="32"/>
          <w:szCs w:val="32"/>
          <w:u w:val="single"/>
        </w:rPr>
        <w:t xml:space="preserve">   </w:t>
      </w:r>
      <w:r>
        <w:rPr>
          <w:rFonts w:hint="eastAsia"/>
          <w:sz w:val="32"/>
          <w:szCs w:val="32"/>
        </w:rPr>
        <w:t>月</w:t>
      </w:r>
      <w:r>
        <w:rPr>
          <w:rFonts w:hint="eastAsia"/>
          <w:sz w:val="32"/>
          <w:szCs w:val="32"/>
          <w:u w:val="single"/>
        </w:rPr>
        <w:t xml:space="preserve"> </w:t>
      </w:r>
      <w:r>
        <w:rPr>
          <w:rFonts w:hint="eastAsia"/>
          <w:sz w:val="32"/>
          <w:szCs w:val="32"/>
          <w:u w:val="single"/>
          <w:lang w:val="en-US" w:eastAsia="zh-CN"/>
        </w:rPr>
        <w:t xml:space="preserve"> </w:t>
      </w:r>
      <w:r>
        <w:rPr>
          <w:rFonts w:hint="eastAsia"/>
          <w:sz w:val="32"/>
          <w:szCs w:val="32"/>
          <w:u w:val="single"/>
        </w:rPr>
        <w:t xml:space="preserve"> </w:t>
      </w:r>
      <w:r>
        <w:rPr>
          <w:rFonts w:hint="eastAsia"/>
          <w:sz w:val="32"/>
          <w:szCs w:val="32"/>
        </w:rPr>
        <w:t>日</w:t>
      </w:r>
    </w:p>
    <w:p w14:paraId="77819D80">
      <w:pPr>
        <w:pStyle w:val="3"/>
        <w:spacing w:line="240" w:lineRule="auto"/>
        <w:rPr>
          <w:rFonts w:ascii="黑体" w:hAnsi="黑体"/>
          <w:color w:val="auto"/>
        </w:rPr>
      </w:pPr>
    </w:p>
    <w:p w14:paraId="4E1CB6E9">
      <w:pPr>
        <w:pStyle w:val="3"/>
        <w:spacing w:line="240" w:lineRule="auto"/>
        <w:jc w:val="both"/>
        <w:rPr>
          <w:rFonts w:ascii="黑体" w:hAnsi="黑体"/>
          <w:color w:val="auto"/>
        </w:rPr>
      </w:pPr>
    </w:p>
    <w:p w14:paraId="35399FA5">
      <w:pPr>
        <w:rPr>
          <w:rFonts w:ascii="黑体" w:hAnsi="黑体"/>
          <w:color w:val="auto"/>
        </w:rPr>
      </w:pPr>
    </w:p>
    <w:p w14:paraId="2B8A6AAC">
      <w:pPr>
        <w:pStyle w:val="3"/>
        <w:spacing w:line="240" w:lineRule="auto"/>
        <w:jc w:val="both"/>
        <w:rPr>
          <w:rFonts w:ascii="黑体" w:hAnsi="黑体"/>
          <w:color w:val="auto"/>
        </w:rPr>
        <w:sectPr>
          <w:headerReference r:id="rId3" w:type="default"/>
          <w:footerReference r:id="rId4" w:type="default"/>
          <w:pgSz w:w="11906" w:h="16838"/>
          <w:pgMar w:top="1440" w:right="1800" w:bottom="1440" w:left="1800" w:header="851" w:footer="992" w:gutter="0"/>
          <w:cols w:space="425" w:num="1"/>
          <w:docGrid w:type="lines" w:linePitch="312" w:charSpace="0"/>
        </w:sectPr>
      </w:pPr>
    </w:p>
    <w:p w14:paraId="4398E712">
      <w:pPr>
        <w:pStyle w:val="3"/>
        <w:spacing w:line="240" w:lineRule="auto"/>
        <w:rPr>
          <w:rStyle w:val="15"/>
          <w:rFonts w:ascii="Times New Roman" w:hAnsi="Times New Roman"/>
          <w:color w:val="auto"/>
          <w:szCs w:val="22"/>
        </w:rPr>
      </w:pPr>
      <w:r>
        <w:rPr>
          <w:rFonts w:hint="eastAsia" w:ascii="黑体" w:hAnsi="黑体"/>
          <w:color w:val="auto"/>
        </w:rPr>
        <w:t>网络竞价项目承诺函</w:t>
      </w:r>
      <w:bookmarkEnd w:id="7"/>
      <w:bookmarkEnd w:id="8"/>
      <w:bookmarkEnd w:id="9"/>
      <w:bookmarkEnd w:id="10"/>
      <w:bookmarkEnd w:id="11"/>
      <w:bookmarkEnd w:id="12"/>
      <w:bookmarkEnd w:id="13"/>
      <w:bookmarkEnd w:id="14"/>
      <w:bookmarkEnd w:id="15"/>
    </w:p>
    <w:p w14:paraId="05926ECD">
      <w:pPr>
        <w:keepNext w:val="0"/>
        <w:keepLines w:val="0"/>
        <w:pageBreakBefore w:val="0"/>
        <w:widowControl w:val="0"/>
        <w:kinsoku/>
        <w:wordWrap/>
        <w:overflowPunct/>
        <w:topLinePunct w:val="0"/>
        <w:autoSpaceDE/>
        <w:autoSpaceDN/>
        <w:bidi w:val="0"/>
        <w:adjustRightInd/>
        <w:snapToGrid w:val="0"/>
        <w:spacing w:line="450" w:lineRule="exact"/>
        <w:textAlignment w:val="auto"/>
        <w:rPr>
          <w:rFonts w:ascii="Times New Roman" w:hAnsi="Times New Roman"/>
          <w:color w:val="auto"/>
          <w:sz w:val="28"/>
          <w:szCs w:val="28"/>
        </w:rPr>
      </w:pPr>
      <w:r>
        <w:rPr>
          <w:rFonts w:hint="eastAsia" w:ascii="Times New Roman" w:hAnsi="Times New Roman"/>
          <w:color w:val="auto"/>
          <w:sz w:val="28"/>
          <w:szCs w:val="28"/>
          <w:lang w:val="en-US" w:eastAsia="zh-CN"/>
        </w:rPr>
        <w:t>屯昌县农村产权交易中心</w:t>
      </w:r>
      <w:r>
        <w:rPr>
          <w:rFonts w:hint="eastAsia" w:ascii="Times New Roman" w:hAnsi="Times New Roman"/>
          <w:color w:val="auto"/>
          <w:sz w:val="28"/>
          <w:szCs w:val="28"/>
        </w:rPr>
        <w:t>有限公司：</w:t>
      </w:r>
    </w:p>
    <w:p w14:paraId="7D2BDA9F">
      <w:pPr>
        <w:keepNext w:val="0"/>
        <w:keepLines w:val="0"/>
        <w:pageBreakBefore w:val="0"/>
        <w:widowControl w:val="0"/>
        <w:kinsoku/>
        <w:wordWrap/>
        <w:overflowPunct/>
        <w:topLinePunct w:val="0"/>
        <w:autoSpaceDE/>
        <w:autoSpaceDN/>
        <w:bidi w:val="0"/>
        <w:adjustRightInd/>
        <w:snapToGrid w:val="0"/>
        <w:spacing w:line="450" w:lineRule="exact"/>
        <w:ind w:firstLine="570"/>
        <w:textAlignment w:val="auto"/>
        <w:rPr>
          <w:rFonts w:ascii="Times New Roman" w:hAnsi="Times New Roman"/>
          <w:color w:val="auto"/>
          <w:sz w:val="28"/>
          <w:szCs w:val="28"/>
        </w:rPr>
      </w:pPr>
      <w:r>
        <w:rPr>
          <w:rFonts w:hint="eastAsia" w:ascii="Times New Roman" w:hAnsi="Times New Roman"/>
          <w:color w:val="auto"/>
          <w:sz w:val="28"/>
          <w:szCs w:val="28"/>
        </w:rPr>
        <w:t>本竞买方就参与</w:t>
      </w:r>
      <w:r>
        <w:rPr>
          <w:rFonts w:ascii="Times New Roman" w:hAnsi="Times New Roman"/>
          <w:color w:val="auto"/>
          <w:sz w:val="28"/>
          <w:szCs w:val="28"/>
        </w:rPr>
        <w:t>“</w:t>
      </w:r>
      <w:r>
        <w:rPr>
          <w:rFonts w:hint="eastAsia" w:ascii="Times New Roman" w:hAnsi="Times New Roman"/>
          <w:color w:val="auto"/>
          <w:sz w:val="28"/>
          <w:szCs w:val="28"/>
          <w:u w:val="single"/>
          <w:lang w:val="en-US" w:eastAsia="zh-CN"/>
        </w:rPr>
        <w:t>屯昌县屯城镇兴盛小区103号109.61㎡商铺出租</w:t>
      </w:r>
      <w:r>
        <w:rPr>
          <w:rFonts w:ascii="Times New Roman" w:hAnsi="Times New Roman"/>
          <w:color w:val="auto"/>
          <w:sz w:val="28"/>
          <w:szCs w:val="28"/>
        </w:rPr>
        <w:t>”</w:t>
      </w:r>
      <w:r>
        <w:rPr>
          <w:rFonts w:hint="eastAsia" w:ascii="Times New Roman" w:hAnsi="Times New Roman"/>
          <w:color w:val="auto"/>
          <w:sz w:val="28"/>
          <w:szCs w:val="28"/>
        </w:rPr>
        <w:t>项目网络竞价活动作出如下承诺：</w:t>
      </w:r>
    </w:p>
    <w:p w14:paraId="2449E1C3">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color w:val="auto"/>
          <w:sz w:val="28"/>
          <w:szCs w:val="28"/>
        </w:rPr>
      </w:pPr>
      <w:r>
        <w:rPr>
          <w:rFonts w:hint="eastAsia" w:ascii="Times New Roman" w:hAnsi="Times New Roman"/>
          <w:color w:val="auto"/>
          <w:sz w:val="28"/>
          <w:szCs w:val="28"/>
        </w:rPr>
        <w:t>一、本竞买方同意按照信息公告的要求，参加</w:t>
      </w:r>
      <w:r>
        <w:rPr>
          <w:rFonts w:ascii="Times New Roman" w:hAnsi="Times New Roman"/>
          <w:color w:val="auto"/>
          <w:sz w:val="28"/>
          <w:szCs w:val="28"/>
        </w:rPr>
        <w:t>“</w:t>
      </w:r>
      <w:r>
        <w:rPr>
          <w:rFonts w:hint="eastAsia" w:ascii="Times New Roman" w:hAnsi="Times New Roman"/>
          <w:color w:val="auto"/>
          <w:sz w:val="28"/>
          <w:szCs w:val="28"/>
          <w:u w:val="single"/>
          <w:lang w:val="en-US" w:eastAsia="zh-CN"/>
        </w:rPr>
        <w:t>屯昌县屯城镇兴盛小区103号109.61㎡商铺出租</w:t>
      </w:r>
      <w:r>
        <w:rPr>
          <w:rFonts w:ascii="Times New Roman" w:hAnsi="Times New Roman"/>
          <w:color w:val="auto"/>
          <w:sz w:val="28"/>
          <w:szCs w:val="28"/>
        </w:rPr>
        <w:t>”</w:t>
      </w:r>
      <w:r>
        <w:rPr>
          <w:rFonts w:hint="eastAsia" w:ascii="Times New Roman" w:hAnsi="Times New Roman"/>
          <w:color w:val="auto"/>
          <w:sz w:val="28"/>
          <w:szCs w:val="28"/>
        </w:rPr>
        <w:t>项目网络竞价活动，并参与报价。</w:t>
      </w:r>
    </w:p>
    <w:p w14:paraId="47EBA954">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color w:val="auto"/>
          <w:sz w:val="28"/>
          <w:szCs w:val="28"/>
        </w:rPr>
      </w:pPr>
      <w:r>
        <w:rPr>
          <w:rFonts w:hint="eastAsia" w:ascii="Times New Roman" w:hAnsi="Times New Roman"/>
          <w:color w:val="auto"/>
          <w:sz w:val="28"/>
          <w:szCs w:val="28"/>
        </w:rPr>
        <w:t>二、本竞买方对</w:t>
      </w:r>
      <w:r>
        <w:rPr>
          <w:rFonts w:ascii="Times New Roman" w:hAnsi="Times New Roman"/>
          <w:color w:val="auto"/>
          <w:sz w:val="28"/>
          <w:szCs w:val="28"/>
        </w:rPr>
        <w:t>“</w:t>
      </w:r>
      <w:r>
        <w:rPr>
          <w:rFonts w:hint="eastAsia" w:ascii="Times New Roman" w:hAnsi="Times New Roman"/>
          <w:color w:val="auto"/>
          <w:sz w:val="28"/>
          <w:szCs w:val="28"/>
          <w:u w:val="single"/>
          <w:lang w:val="en-US" w:eastAsia="zh-CN"/>
        </w:rPr>
        <w:t>屯昌县屯城镇兴盛小区103号109.61㎡商铺出租</w:t>
      </w:r>
      <w:r>
        <w:rPr>
          <w:rFonts w:ascii="Times New Roman" w:hAnsi="Times New Roman"/>
          <w:color w:val="auto"/>
          <w:sz w:val="28"/>
          <w:szCs w:val="28"/>
        </w:rPr>
        <w:t>”</w:t>
      </w:r>
      <w:r>
        <w:rPr>
          <w:rFonts w:hint="eastAsia" w:ascii="Times New Roman" w:hAnsi="Times New Roman"/>
          <w:color w:val="auto"/>
          <w:sz w:val="28"/>
          <w:szCs w:val="28"/>
        </w:rPr>
        <w:t>项目和</w:t>
      </w:r>
      <w:r>
        <w:rPr>
          <w:rFonts w:hint="eastAsia" w:ascii="新宋体" w:hAnsi="新宋体" w:eastAsia="新宋体"/>
          <w:color w:val="auto"/>
          <w:sz w:val="28"/>
          <w:szCs w:val="28"/>
        </w:rPr>
        <w:t>《</w:t>
      </w:r>
      <w:r>
        <w:rPr>
          <w:rFonts w:hint="eastAsia" w:ascii="新宋体" w:hAnsi="新宋体" w:eastAsia="新宋体"/>
          <w:color w:val="auto"/>
          <w:sz w:val="28"/>
          <w:szCs w:val="28"/>
          <w:lang w:val="en-US" w:eastAsia="zh-CN"/>
        </w:rPr>
        <w:t>屯昌</w:t>
      </w:r>
      <w:r>
        <w:rPr>
          <w:rFonts w:hint="eastAsia" w:ascii="新宋体" w:hAnsi="新宋体" w:eastAsia="新宋体"/>
          <w:color w:val="auto"/>
          <w:sz w:val="28"/>
          <w:szCs w:val="28"/>
        </w:rPr>
        <w:t>农村产权交易</w:t>
      </w:r>
      <w:r>
        <w:rPr>
          <w:rFonts w:hint="eastAsia" w:ascii="新宋体" w:hAnsi="新宋体" w:eastAsia="新宋体"/>
          <w:color w:val="auto"/>
          <w:sz w:val="28"/>
          <w:szCs w:val="28"/>
          <w:lang w:val="en-US" w:eastAsia="zh-CN"/>
        </w:rPr>
        <w:t>平台</w:t>
      </w:r>
      <w:r>
        <w:rPr>
          <w:rFonts w:hint="eastAsia" w:ascii="新宋体" w:hAnsi="新宋体" w:eastAsia="新宋体"/>
          <w:color w:val="auto"/>
          <w:sz w:val="28"/>
          <w:szCs w:val="28"/>
        </w:rPr>
        <w:t>网络竞价实施办法（试行）》《</w:t>
      </w:r>
      <w:r>
        <w:rPr>
          <w:rFonts w:hint="eastAsia" w:ascii="Times New Roman" w:hAnsi="Times New Roman"/>
          <w:color w:val="auto"/>
          <w:sz w:val="28"/>
          <w:szCs w:val="28"/>
        </w:rPr>
        <w:t>网络竞价须知》已充分了解，并自愿遵守文件中的相关规定。</w:t>
      </w:r>
    </w:p>
    <w:p w14:paraId="02E7A4EE">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color w:val="auto"/>
          <w:sz w:val="28"/>
          <w:szCs w:val="28"/>
        </w:rPr>
      </w:pPr>
      <w:r>
        <w:rPr>
          <w:rFonts w:hint="eastAsia" w:ascii="Times New Roman" w:hAnsi="Times New Roman"/>
          <w:color w:val="auto"/>
          <w:sz w:val="28"/>
          <w:szCs w:val="28"/>
        </w:rPr>
        <w:t>三、本竞买方已进行并完成针对本项目的尽职调查工作（包括但不限于查阅由出租（转让）方提供的本项目的档案文件），对项目标的情况已充分知晓。本竞买方自行承担包括但不限于因所获取的表达信息不全面、错误或误解等而产生的相应后果，竞拍标的因权属、真伪、质量或使用性能等产生的问题与</w:t>
      </w:r>
      <w:r>
        <w:rPr>
          <w:rFonts w:hint="eastAsia" w:ascii="新宋体" w:hAnsi="新宋体" w:eastAsia="新宋体"/>
          <w:color w:val="auto"/>
          <w:sz w:val="28"/>
          <w:szCs w:val="28"/>
          <w:lang w:val="en-US" w:eastAsia="zh-CN"/>
        </w:rPr>
        <w:t>屯昌县农村产权交易服务平台</w:t>
      </w:r>
      <w:r>
        <w:rPr>
          <w:rFonts w:hint="eastAsia" w:ascii="新宋体" w:hAnsi="新宋体" w:eastAsia="新宋体" w:cs="Times New Roman"/>
          <w:color w:val="auto"/>
          <w:sz w:val="28"/>
          <w:szCs w:val="28"/>
        </w:rPr>
        <w:t>（https://tunchang.nongjiao.com/，以下简称“平台”）</w:t>
      </w:r>
      <w:r>
        <w:rPr>
          <w:rFonts w:hint="eastAsia" w:ascii="Times New Roman" w:hAnsi="Times New Roman"/>
          <w:color w:val="auto"/>
          <w:sz w:val="28"/>
          <w:szCs w:val="28"/>
        </w:rPr>
        <w:t>无关。</w:t>
      </w:r>
    </w:p>
    <w:p w14:paraId="0DA8ABAD">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jc w:val="left"/>
        <w:textAlignment w:val="auto"/>
        <w:rPr>
          <w:rFonts w:ascii="Times New Roman" w:hAnsi="Times New Roman"/>
          <w:color w:val="auto"/>
          <w:sz w:val="28"/>
          <w:szCs w:val="28"/>
        </w:rPr>
      </w:pPr>
      <w:r>
        <w:rPr>
          <w:rFonts w:hint="eastAsia" w:ascii="Times New Roman" w:hAnsi="Times New Roman"/>
          <w:color w:val="auto"/>
          <w:sz w:val="28"/>
          <w:szCs w:val="28"/>
        </w:rPr>
        <w:t>四、本竞买方同意出租（转让）方和平台有权根据《网络竞价须知》的规定扣除保证金。</w:t>
      </w:r>
    </w:p>
    <w:p w14:paraId="442CDC37">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color w:val="auto"/>
          <w:sz w:val="28"/>
          <w:szCs w:val="28"/>
        </w:rPr>
      </w:pPr>
      <w:r>
        <w:rPr>
          <w:rFonts w:hint="eastAsia" w:ascii="Times New Roman" w:hAnsi="Times New Roman"/>
          <w:color w:val="auto"/>
          <w:sz w:val="28"/>
          <w:szCs w:val="28"/>
        </w:rPr>
        <w:t>五、本竞买方承诺在竞价成功后按照</w:t>
      </w:r>
      <w:r>
        <w:rPr>
          <w:rFonts w:hint="eastAsia" w:ascii="Times New Roman" w:hAnsi="Times New Roman"/>
          <w:color w:val="auto"/>
          <w:sz w:val="28"/>
          <w:szCs w:val="28"/>
          <w:lang w:val="en-US" w:eastAsia="zh-CN"/>
        </w:rPr>
        <w:t>屯昌县</w:t>
      </w:r>
      <w:r>
        <w:rPr>
          <w:rFonts w:hint="eastAsia" w:ascii="Times New Roman" w:hAnsi="Times New Roman"/>
          <w:color w:val="auto"/>
          <w:sz w:val="28"/>
          <w:szCs w:val="28"/>
        </w:rPr>
        <w:t>农村产权交易平台书面通知要求与出租（转让）方签署交易合同，并按《</w:t>
      </w:r>
      <w:r>
        <w:rPr>
          <w:rFonts w:hint="eastAsia" w:ascii="Times New Roman" w:hAnsi="Times New Roman"/>
          <w:color w:val="auto"/>
          <w:sz w:val="28"/>
          <w:szCs w:val="28"/>
          <w:lang w:val="en-US" w:eastAsia="zh-CN"/>
        </w:rPr>
        <w:t>标的竞得书</w:t>
      </w:r>
      <w:r>
        <w:rPr>
          <w:rFonts w:hint="eastAsia" w:ascii="Times New Roman" w:hAnsi="Times New Roman"/>
          <w:color w:val="auto"/>
          <w:sz w:val="28"/>
          <w:szCs w:val="28"/>
        </w:rPr>
        <w:t>》的约定支付交易价款。</w:t>
      </w:r>
    </w:p>
    <w:p w14:paraId="117C8972">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color w:val="auto"/>
          <w:sz w:val="28"/>
          <w:szCs w:val="28"/>
        </w:rPr>
      </w:pPr>
      <w:r>
        <w:rPr>
          <w:rFonts w:hint="eastAsia" w:ascii="Times New Roman" w:hAnsi="Times New Roman"/>
          <w:color w:val="auto"/>
          <w:sz w:val="28"/>
          <w:szCs w:val="28"/>
        </w:rPr>
        <w:t>六、本竞买方承诺如遇互联网可能出现不稳定情况、网络黑客恶意攻击，以及本人操作失误等情况导致竞价无法正常报价的，所造成的损失由本竞买方承担（包括但不限于网络故障、电路故障、系统故障）。</w:t>
      </w:r>
    </w:p>
    <w:p w14:paraId="61799FFD">
      <w:pPr>
        <w:pStyle w:val="2"/>
        <w:keepNext w:val="0"/>
        <w:keepLines w:val="0"/>
        <w:pageBreakBefore w:val="0"/>
        <w:widowControl w:val="0"/>
        <w:kinsoku/>
        <w:wordWrap/>
        <w:overflowPunct/>
        <w:topLinePunct w:val="0"/>
        <w:autoSpaceDE/>
        <w:autoSpaceDN/>
        <w:bidi w:val="0"/>
        <w:adjustRightInd/>
        <w:spacing w:line="450" w:lineRule="exact"/>
        <w:ind w:left="2250" w:hanging="1200"/>
        <w:textAlignment w:val="auto"/>
        <w:rPr>
          <w:color w:val="auto"/>
        </w:rPr>
      </w:pPr>
    </w:p>
    <w:p w14:paraId="1B7AF1BF">
      <w:pPr>
        <w:keepNext w:val="0"/>
        <w:keepLines w:val="0"/>
        <w:pageBreakBefore w:val="0"/>
        <w:widowControl w:val="0"/>
        <w:kinsoku/>
        <w:wordWrap/>
        <w:overflowPunct/>
        <w:topLinePunct w:val="0"/>
        <w:autoSpaceDE/>
        <w:autoSpaceDN/>
        <w:bidi w:val="0"/>
        <w:adjustRightInd/>
        <w:snapToGrid w:val="0"/>
        <w:spacing w:line="450" w:lineRule="exact"/>
        <w:textAlignment w:val="auto"/>
        <w:rPr>
          <w:rFonts w:hint="eastAsia" w:eastAsiaTheme="minorEastAsia"/>
          <w:color w:val="auto"/>
          <w:lang w:val="en-US" w:eastAsia="zh-CN"/>
        </w:rPr>
      </w:pPr>
      <w:r>
        <w:rPr>
          <w:rFonts w:ascii="Times New Roman" w:hAnsi="Times New Roman"/>
          <w:color w:val="auto"/>
          <w:sz w:val="28"/>
          <w:szCs w:val="28"/>
        </w:rPr>
        <w:t xml:space="preserve">  </w:t>
      </w:r>
      <w:r>
        <w:rPr>
          <w:rFonts w:hint="eastAsia" w:ascii="Times New Roman" w:hAnsi="Times New Roman"/>
          <w:color w:val="auto"/>
          <w:sz w:val="28"/>
          <w:szCs w:val="28"/>
        </w:rPr>
        <w:t>　　　　　　　　　　　　　　　　　　竞买方（签章）：</w:t>
      </w:r>
    </w:p>
    <w:p w14:paraId="7C084D55">
      <w:pPr>
        <w:keepNext w:val="0"/>
        <w:keepLines w:val="0"/>
        <w:pageBreakBefore w:val="0"/>
        <w:widowControl w:val="0"/>
        <w:kinsoku/>
        <w:wordWrap/>
        <w:overflowPunct/>
        <w:topLinePunct w:val="0"/>
        <w:autoSpaceDE/>
        <w:autoSpaceDN/>
        <w:bidi w:val="0"/>
        <w:adjustRightInd/>
        <w:snapToGrid w:val="0"/>
        <w:spacing w:line="450" w:lineRule="exact"/>
        <w:jc w:val="left"/>
        <w:textAlignment w:val="auto"/>
        <w:rPr>
          <w:rFonts w:ascii="仿宋_GB2312" w:hAnsi="仿宋_GB2312" w:eastAsia="仿宋_GB2312" w:cs="仿宋_GB2312"/>
          <w:color w:val="auto"/>
          <w:sz w:val="30"/>
          <w:szCs w:val="30"/>
        </w:rPr>
        <w:sectPr>
          <w:pgSz w:w="11906" w:h="16838"/>
          <w:pgMar w:top="1440" w:right="1800" w:bottom="1440" w:left="1800" w:header="851" w:footer="992" w:gutter="0"/>
          <w:cols w:space="425" w:num="1"/>
          <w:docGrid w:type="lines" w:linePitch="312" w:charSpace="0"/>
        </w:sectPr>
      </w:pPr>
      <w:r>
        <w:rPr>
          <w:rFonts w:ascii="Times New Roman" w:hAnsi="Times New Roman"/>
          <w:color w:val="auto"/>
          <w:sz w:val="28"/>
          <w:szCs w:val="28"/>
        </w:rPr>
        <w:t xml:space="preserve">                               </w:t>
      </w:r>
      <w:r>
        <w:rPr>
          <w:rFonts w:hint="eastAsia" w:ascii="Times New Roman" w:hAnsi="Times New Roman"/>
          <w:color w:val="auto"/>
          <w:sz w:val="28"/>
          <w:szCs w:val="28"/>
        </w:rPr>
        <w:t>　　</w:t>
      </w:r>
      <w:r>
        <w:rPr>
          <w:rFonts w:hint="eastAsia" w:ascii="Times New Roman" w:hAnsi="Times New Roman"/>
          <w:color w:val="auto"/>
          <w:sz w:val="28"/>
          <w:szCs w:val="28"/>
          <w:lang w:val="en-US" w:eastAsia="zh-CN"/>
        </w:rPr>
        <w:t xml:space="preserve">      </w:t>
      </w:r>
      <w:r>
        <w:rPr>
          <w:rFonts w:hint="eastAsia" w:ascii="Times New Roman" w:hAnsi="Times New Roman"/>
          <w:color w:val="auto"/>
          <w:sz w:val="28"/>
          <w:szCs w:val="28"/>
          <w:u w:val="single"/>
        </w:rPr>
        <w:t>　　</w:t>
      </w:r>
      <w:r>
        <w:rPr>
          <w:rFonts w:hint="eastAsia" w:ascii="Times New Roman" w:hAnsi="Times New Roman"/>
          <w:color w:val="auto"/>
          <w:sz w:val="28"/>
          <w:szCs w:val="28"/>
          <w:u w:val="single"/>
          <w:lang w:val="en-US" w:eastAsia="zh-CN"/>
        </w:rPr>
        <w:t xml:space="preserve"> </w:t>
      </w:r>
      <w:r>
        <w:rPr>
          <w:rFonts w:hint="eastAsia" w:ascii="Times New Roman" w:hAnsi="Times New Roman"/>
          <w:color w:val="auto"/>
          <w:sz w:val="28"/>
          <w:szCs w:val="28"/>
        </w:rPr>
        <w:t>年</w:t>
      </w:r>
      <w:r>
        <w:rPr>
          <w:rFonts w:hint="eastAsia" w:ascii="Times New Roman" w:hAnsi="Times New Roman"/>
          <w:color w:val="auto"/>
          <w:sz w:val="28"/>
          <w:szCs w:val="28"/>
          <w:u w:val="single"/>
          <w:lang w:val="en-US" w:eastAsia="zh-CN"/>
        </w:rPr>
        <w:t xml:space="preserve">   </w:t>
      </w:r>
      <w:r>
        <w:rPr>
          <w:rFonts w:hint="eastAsia" w:ascii="Times New Roman" w:hAnsi="Times New Roman"/>
          <w:color w:val="auto"/>
          <w:sz w:val="28"/>
          <w:szCs w:val="28"/>
        </w:rPr>
        <w:t>月</w:t>
      </w:r>
      <w:r>
        <w:rPr>
          <w:rFonts w:hint="eastAsia" w:ascii="Times New Roman" w:hAnsi="Times New Roman"/>
          <w:color w:val="auto"/>
          <w:sz w:val="28"/>
          <w:szCs w:val="28"/>
          <w:u w:val="single"/>
          <w:lang w:val="en-US" w:eastAsia="zh-CN"/>
        </w:rPr>
        <w:t xml:space="preserve">   </w:t>
      </w:r>
      <w:r>
        <w:rPr>
          <w:rFonts w:hint="eastAsia" w:ascii="Times New Roman" w:hAnsi="Times New Roman"/>
          <w:color w:val="auto"/>
          <w:sz w:val="28"/>
          <w:szCs w:val="28"/>
        </w:rPr>
        <w:t>日</w:t>
      </w:r>
    </w:p>
    <w:p w14:paraId="04661BC6">
      <w:pPr>
        <w:ind w:firstLine="5700" w:firstLineChars="1900"/>
        <w:rPr>
          <w:rFonts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编号：</w:t>
      </w:r>
    </w:p>
    <w:p w14:paraId="7E839F4E">
      <w:pPr>
        <w:pStyle w:val="3"/>
        <w:rPr>
          <w:rFonts w:ascii="方正小标宋简体" w:hAnsi="方正小标宋简体" w:eastAsia="方正小标宋简体" w:cs="方正小标宋简体"/>
          <w:bCs/>
          <w:color w:val="auto"/>
          <w:szCs w:val="36"/>
        </w:rPr>
      </w:pPr>
      <w:r>
        <w:rPr>
          <w:rFonts w:hint="eastAsia" w:ascii="方正小标宋简体" w:hAnsi="方正小标宋简体" w:eastAsia="方正小标宋简体" w:cs="方正小标宋简体"/>
          <w:bCs/>
          <w:color w:val="auto"/>
          <w:szCs w:val="36"/>
        </w:rPr>
        <w:t>承租（受让）申请书</w:t>
      </w:r>
    </w:p>
    <w:p w14:paraId="579F5BA1">
      <w:pPr>
        <w:rPr>
          <w:rFonts w:ascii="仿宋_GB2312" w:hAnsi="仿宋_GB2312" w:eastAsia="仿宋_GB2312" w:cs="仿宋_GB2312"/>
          <w:color w:val="auto"/>
          <w:sz w:val="36"/>
          <w:szCs w:val="30"/>
        </w:rPr>
      </w:pPr>
    </w:p>
    <w:p w14:paraId="2FFD931A">
      <w:pPr>
        <w:rPr>
          <w:rFonts w:ascii="仿宋_GB2312" w:hAnsi="仿宋_GB2312" w:eastAsia="仿宋_GB2312" w:cs="仿宋_GB2312"/>
          <w:color w:val="auto"/>
          <w:sz w:val="30"/>
          <w:szCs w:val="30"/>
        </w:rPr>
      </w:pPr>
    </w:p>
    <w:p w14:paraId="39BBC6BF">
      <w:pPr>
        <w:rPr>
          <w:rFonts w:ascii="仿宋_GB2312" w:hAnsi="仿宋_GB2312" w:eastAsia="仿宋_GB2312" w:cs="仿宋_GB2312"/>
          <w:b/>
          <w:color w:val="auto"/>
          <w:sz w:val="30"/>
          <w:szCs w:val="30"/>
        </w:rPr>
      </w:pPr>
      <w:r>
        <w:rPr>
          <w:rFonts w:hint="eastAsia" w:ascii="仿宋_GB2312" w:hAnsi="仿宋_GB2312" w:eastAsia="仿宋_GB2312" w:cs="仿宋_GB2312"/>
          <w:b/>
          <w:color w:val="auto"/>
          <w:sz w:val="30"/>
          <w:szCs w:val="30"/>
        </w:rPr>
        <w:t>申请单位：</w:t>
      </w:r>
      <w:r>
        <w:rPr>
          <w:rFonts w:hint="eastAsia" w:ascii="仿宋_GB2312" w:hAnsi="仿宋_GB2312" w:eastAsia="仿宋_GB2312" w:cs="仿宋_GB2312"/>
          <w:b/>
          <w:color w:val="auto"/>
          <w:sz w:val="30"/>
          <w:szCs w:val="30"/>
          <w:u w:val="single"/>
        </w:rPr>
        <w:t xml:space="preserve">   </w:t>
      </w:r>
      <w:r>
        <w:rPr>
          <w:rFonts w:hint="eastAsia" w:ascii="仿宋_GB2312" w:hAnsi="仿宋_GB2312" w:eastAsia="仿宋_GB2312" w:cs="仿宋_GB2312"/>
          <w:b/>
          <w:color w:val="auto"/>
          <w:sz w:val="30"/>
          <w:szCs w:val="30"/>
          <w:u w:val="single"/>
          <w:lang w:val="en-US" w:eastAsia="zh-CN"/>
        </w:rPr>
        <w:t xml:space="preserve">                                 </w:t>
      </w:r>
      <w:r>
        <w:rPr>
          <w:rFonts w:hint="eastAsia" w:ascii="仿宋_GB2312" w:hAnsi="仿宋_GB2312" w:eastAsia="仿宋_GB2312" w:cs="仿宋_GB2312"/>
          <w:b/>
          <w:color w:val="auto"/>
          <w:sz w:val="30"/>
          <w:szCs w:val="30"/>
          <w:u w:val="single"/>
        </w:rPr>
        <w:t xml:space="preserve">     </w:t>
      </w:r>
    </w:p>
    <w:p w14:paraId="3837285C">
      <w:pPr>
        <w:rPr>
          <w:rFonts w:ascii="仿宋_GB2312" w:hAnsi="仿宋_GB2312" w:eastAsia="仿宋_GB2312" w:cs="仿宋_GB2312"/>
          <w:b/>
          <w:color w:val="auto"/>
          <w:sz w:val="30"/>
          <w:szCs w:val="30"/>
        </w:rPr>
      </w:pPr>
    </w:p>
    <w:p w14:paraId="1B0D24CF">
      <w:pPr>
        <w:rPr>
          <w:rFonts w:ascii="仿宋_GB2312" w:hAnsi="仿宋_GB2312" w:eastAsia="仿宋_GB2312" w:cs="仿宋_GB2312"/>
          <w:b/>
          <w:color w:val="auto"/>
          <w:sz w:val="30"/>
          <w:szCs w:val="30"/>
          <w:u w:val="single"/>
        </w:rPr>
      </w:pPr>
      <w:r>
        <w:rPr>
          <w:rFonts w:hint="eastAsia" w:ascii="仿宋_GB2312" w:hAnsi="仿宋_GB2312" w:eastAsia="仿宋_GB2312" w:cs="仿宋_GB2312"/>
          <w:b/>
          <w:color w:val="auto"/>
          <w:sz w:val="30"/>
          <w:szCs w:val="30"/>
        </w:rPr>
        <w:t>法定代表人/负责人：</w:t>
      </w:r>
      <w:r>
        <w:rPr>
          <w:rFonts w:hint="eastAsia" w:ascii="仿宋_GB2312" w:hAnsi="仿宋_GB2312" w:eastAsia="仿宋_GB2312" w:cs="仿宋_GB2312"/>
          <w:b/>
          <w:color w:val="auto"/>
          <w:sz w:val="30"/>
          <w:szCs w:val="30"/>
          <w:u w:val="single"/>
        </w:rPr>
        <w:t xml:space="preserve">     </w:t>
      </w:r>
      <w:r>
        <w:rPr>
          <w:rFonts w:hint="eastAsia" w:ascii="仿宋_GB2312" w:hAnsi="仿宋_GB2312" w:eastAsia="仿宋_GB2312" w:cs="仿宋_GB2312"/>
          <w:b/>
          <w:color w:val="auto"/>
          <w:sz w:val="30"/>
          <w:szCs w:val="30"/>
          <w:u w:val="single"/>
          <w:lang w:val="en-US" w:eastAsia="zh-CN"/>
        </w:rPr>
        <w:t xml:space="preserve">    </w:t>
      </w:r>
      <w:r>
        <w:rPr>
          <w:rFonts w:hint="eastAsia" w:ascii="仿宋_GB2312" w:hAnsi="仿宋_GB2312" w:eastAsia="仿宋_GB2312" w:cs="仿宋_GB2312"/>
          <w:b/>
          <w:color w:val="auto"/>
          <w:sz w:val="30"/>
          <w:szCs w:val="30"/>
          <w:u w:val="single"/>
        </w:rPr>
        <w:t xml:space="preserve">           </w:t>
      </w:r>
      <w:r>
        <w:rPr>
          <w:rFonts w:hint="eastAsia" w:ascii="仿宋_GB2312" w:hAnsi="仿宋_GB2312" w:eastAsia="仿宋_GB2312" w:cs="仿宋_GB2312"/>
          <w:b/>
          <w:color w:val="auto"/>
          <w:sz w:val="30"/>
          <w:szCs w:val="30"/>
          <w:u w:val="single"/>
          <w:lang w:val="en-US" w:eastAsia="zh-CN"/>
        </w:rPr>
        <w:t xml:space="preserve">          </w:t>
      </w:r>
      <w:r>
        <w:rPr>
          <w:rFonts w:hint="eastAsia" w:ascii="仿宋_GB2312" w:hAnsi="仿宋_GB2312" w:eastAsia="仿宋_GB2312" w:cs="仿宋_GB2312"/>
          <w:b/>
          <w:color w:val="auto"/>
          <w:sz w:val="30"/>
          <w:szCs w:val="30"/>
          <w:u w:val="single"/>
        </w:rPr>
        <w:t xml:space="preserve">    </w:t>
      </w:r>
    </w:p>
    <w:p w14:paraId="18B54B68">
      <w:pPr>
        <w:rPr>
          <w:rFonts w:ascii="仿宋_GB2312" w:hAnsi="仿宋_GB2312" w:eastAsia="仿宋_GB2312" w:cs="仿宋_GB2312"/>
          <w:b/>
          <w:color w:val="auto"/>
          <w:sz w:val="30"/>
          <w:szCs w:val="30"/>
          <w:u w:val="single"/>
        </w:rPr>
      </w:pPr>
    </w:p>
    <w:p w14:paraId="109C9E38">
      <w:pPr>
        <w:rPr>
          <w:rFonts w:ascii="仿宋_GB2312" w:hAnsi="仿宋_GB2312" w:eastAsia="仿宋_GB2312" w:cs="仿宋_GB2312"/>
          <w:b/>
          <w:color w:val="auto"/>
          <w:sz w:val="30"/>
          <w:szCs w:val="30"/>
        </w:rPr>
      </w:pPr>
      <w:r>
        <w:rPr>
          <w:rFonts w:hint="eastAsia" w:ascii="仿宋_GB2312" w:hAnsi="仿宋_GB2312" w:eastAsia="仿宋_GB2312" w:cs="仿宋_GB2312"/>
          <w:color w:val="auto"/>
        </w:rPr>
        <mc:AlternateContent>
          <mc:Choice Requires="wps">
            <w:drawing>
              <wp:anchor distT="0" distB="0" distL="114300" distR="114300" simplePos="0" relativeHeight="251660288" behindDoc="0" locked="0" layoutInCell="1" allowOverlap="1">
                <wp:simplePos x="0" y="0"/>
                <wp:positionH relativeFrom="column">
                  <wp:posOffset>-342900</wp:posOffset>
                </wp:positionH>
                <wp:positionV relativeFrom="paragraph">
                  <wp:posOffset>99060</wp:posOffset>
                </wp:positionV>
                <wp:extent cx="6057900" cy="2674620"/>
                <wp:effectExtent l="4445" t="4445" r="14605" b="6985"/>
                <wp:wrapNone/>
                <wp:docPr id="128" name="矩形 128"/>
                <wp:cNvGraphicFramePr/>
                <a:graphic xmlns:a="http://schemas.openxmlformats.org/drawingml/2006/main">
                  <a:graphicData uri="http://schemas.microsoft.com/office/word/2010/wordprocessingShape">
                    <wps:wsp>
                      <wps:cNvSpPr/>
                      <wps:spPr>
                        <a:xfrm>
                          <a:off x="0" y="0"/>
                          <a:ext cx="6057900" cy="2674620"/>
                        </a:xfrm>
                        <a:prstGeom prst="rect">
                          <a:avLst/>
                        </a:prstGeom>
                        <a:solidFill>
                          <a:srgbClr val="FFFFFF"/>
                        </a:solidFill>
                        <a:ln w="9525" cap="flat" cmpd="sng">
                          <a:solidFill>
                            <a:srgbClr val="000000"/>
                          </a:solidFill>
                          <a:prstDash val="dash"/>
                          <a:miter/>
                          <a:headEnd type="none" w="med" len="med"/>
                          <a:tailEnd type="none" w="med" len="med"/>
                        </a:ln>
                        <a:effectLst/>
                      </wps:spPr>
                      <wps:txbx>
                        <w:txbxContent>
                          <w:p w14:paraId="6A051147">
                            <w:pPr>
                              <w:jc w:val="center"/>
                              <w:rPr>
                                <w:b/>
                                <w:sz w:val="42"/>
                              </w:rPr>
                            </w:pPr>
                          </w:p>
                          <w:p w14:paraId="1FC6F459">
                            <w:pPr>
                              <w:jc w:val="center"/>
                              <w:rPr>
                                <w:rFonts w:ascii="仿宋_GB2312" w:hAnsi="仿宋_GB2312" w:eastAsia="仿宋_GB2312" w:cs="仿宋_GB2312"/>
                                <w:b/>
                                <w:sz w:val="42"/>
                              </w:rPr>
                            </w:pPr>
                            <w:r>
                              <w:rPr>
                                <w:rFonts w:hint="eastAsia" w:ascii="仿宋_GB2312" w:hAnsi="仿宋_GB2312" w:eastAsia="仿宋_GB2312" w:cs="仿宋_GB2312"/>
                                <w:b/>
                                <w:sz w:val="42"/>
                              </w:rPr>
                              <w:t>敬  告</w:t>
                            </w:r>
                          </w:p>
                          <w:p w14:paraId="2690A4BB">
                            <w:pPr>
                              <w:rPr>
                                <w:rFonts w:ascii="仿宋_GB2312" w:hAnsi="仿宋_GB2312" w:eastAsia="仿宋_GB2312" w:cs="仿宋_GB2312"/>
                                <w:sz w:val="24"/>
                              </w:rPr>
                            </w:pPr>
                          </w:p>
                          <w:p w14:paraId="76828A2C">
                            <w:pPr>
                              <w:ind w:left="360" w:hanging="360" w:hangingChars="150"/>
                              <w:rPr>
                                <w:rFonts w:ascii="仿宋_GB2312" w:hAnsi="仿宋_GB2312" w:eastAsia="仿宋_GB2312" w:cs="仿宋_GB2312"/>
                                <w:sz w:val="24"/>
                              </w:rPr>
                            </w:pPr>
                            <w:r>
                              <w:rPr>
                                <w:rFonts w:hint="eastAsia" w:ascii="仿宋_GB2312" w:hAnsi="仿宋_GB2312" w:eastAsia="仿宋_GB2312" w:cs="仿宋_GB2312"/>
                                <w:sz w:val="24"/>
                              </w:rPr>
                              <w:t>1、申请人在填表前，应认真阅读并理解</w:t>
                            </w:r>
                            <w:r>
                              <w:rPr>
                                <w:rFonts w:hint="eastAsia" w:ascii="仿宋_GB2312" w:hAnsi="仿宋_GB2312" w:eastAsia="仿宋_GB2312" w:cs="仿宋_GB2312"/>
                                <w:sz w:val="24"/>
                                <w:szCs w:val="22"/>
                              </w:rPr>
                              <w:t>《</w:t>
                            </w:r>
                            <w:r>
                              <w:rPr>
                                <w:rFonts w:hint="eastAsia" w:ascii="仿宋_GB2312" w:hAnsi="仿宋_GB2312" w:eastAsia="仿宋_GB2312" w:cs="仿宋_GB2312"/>
                                <w:sz w:val="24"/>
                                <w:szCs w:val="22"/>
                                <w:lang w:val="en-US" w:eastAsia="zh-CN"/>
                              </w:rPr>
                              <w:t>屯昌</w:t>
                            </w:r>
                            <w:r>
                              <w:rPr>
                                <w:rFonts w:hint="eastAsia" w:ascii="仿宋_GB2312" w:hAnsi="仿宋_GB2312" w:eastAsia="仿宋_GB2312" w:cs="仿宋_GB2312"/>
                                <w:sz w:val="24"/>
                                <w:szCs w:val="22"/>
                              </w:rPr>
                              <w:t>农村产权交易</w:t>
                            </w:r>
                            <w:r>
                              <w:rPr>
                                <w:rFonts w:hint="eastAsia" w:ascii="仿宋_GB2312" w:hAnsi="仿宋_GB2312" w:eastAsia="仿宋_GB2312" w:cs="仿宋_GB2312"/>
                                <w:sz w:val="24"/>
                                <w:szCs w:val="22"/>
                                <w:lang w:val="en-US" w:eastAsia="zh-CN"/>
                              </w:rPr>
                              <w:t>中心</w:t>
                            </w:r>
                            <w:r>
                              <w:rPr>
                                <w:rFonts w:hint="eastAsia" w:ascii="仿宋_GB2312" w:hAnsi="仿宋_GB2312" w:eastAsia="仿宋_GB2312" w:cs="仿宋_GB2312"/>
                                <w:sz w:val="24"/>
                                <w:szCs w:val="22"/>
                              </w:rPr>
                              <w:t>交易规则（试行）</w:t>
                            </w:r>
                            <w:r>
                              <w:rPr>
                                <w:rFonts w:hint="eastAsia" w:ascii="仿宋_GB2312" w:hAnsi="仿宋_GB2312" w:eastAsia="仿宋_GB2312" w:cs="仿宋_GB2312"/>
                                <w:sz w:val="24"/>
                              </w:rPr>
                              <w:t>》及相关规定。</w:t>
                            </w:r>
                          </w:p>
                          <w:p w14:paraId="03DCF2CC">
                            <w:pPr>
                              <w:rPr>
                                <w:rFonts w:ascii="仿宋_GB2312" w:hAnsi="仿宋_GB2312" w:eastAsia="仿宋_GB2312" w:cs="仿宋_GB2312"/>
                                <w:sz w:val="24"/>
                              </w:rPr>
                            </w:pPr>
                            <w:r>
                              <w:rPr>
                                <w:rFonts w:hint="eastAsia" w:ascii="仿宋_GB2312" w:hAnsi="仿宋_GB2312" w:eastAsia="仿宋_GB2312" w:cs="仿宋_GB2312"/>
                                <w:sz w:val="24"/>
                              </w:rPr>
                              <w:t>2、申请书各项内容务请如实、准确填写。</w:t>
                            </w:r>
                          </w:p>
                          <w:p w14:paraId="341354AC">
                            <w:pPr>
                              <w:rPr>
                                <w:rFonts w:ascii="仿宋_GB2312" w:hAnsi="仿宋_GB2312" w:eastAsia="仿宋_GB2312" w:cs="仿宋_GB2312"/>
                                <w:sz w:val="24"/>
                              </w:rPr>
                            </w:pPr>
                            <w:r>
                              <w:rPr>
                                <w:rFonts w:hint="eastAsia" w:ascii="仿宋_GB2312" w:hAnsi="仿宋_GB2312" w:eastAsia="仿宋_GB2312" w:cs="仿宋_GB2312"/>
                                <w:sz w:val="24"/>
                              </w:rPr>
                              <w:t>3、填写时请使用黑色墨水，字迹工整，不得涂改。</w:t>
                            </w:r>
                          </w:p>
                          <w:p w14:paraId="1CBFAB0E">
                            <w:pPr>
                              <w:rPr>
                                <w:rFonts w:ascii="仿宋_GB2312" w:hAnsi="仿宋_GB2312" w:eastAsia="仿宋_GB2312" w:cs="仿宋_GB2312"/>
                                <w:sz w:val="24"/>
                              </w:rPr>
                            </w:pPr>
                            <w:r>
                              <w:rPr>
                                <w:rFonts w:hint="eastAsia" w:ascii="仿宋_GB2312" w:hAnsi="仿宋_GB2312" w:eastAsia="仿宋_GB2312" w:cs="仿宋_GB2312"/>
                                <w:sz w:val="24"/>
                              </w:rPr>
                              <w:t>4、本申请书请申请方加盖骑缝章。</w:t>
                            </w:r>
                          </w:p>
                        </w:txbxContent>
                      </wps:txbx>
                      <wps:bodyPr upright="1"/>
                    </wps:wsp>
                  </a:graphicData>
                </a:graphic>
              </wp:anchor>
            </w:drawing>
          </mc:Choice>
          <mc:Fallback>
            <w:pict>
              <v:rect id="_x0000_s1026" o:spid="_x0000_s1026" o:spt="1" style="position:absolute;left:0pt;margin-left:-27pt;margin-top:7.8pt;height:210.6pt;width:477pt;z-index:251660288;mso-width-relative:page;mso-height-relative:page;" fillcolor="#FFFFFF" filled="t" stroked="t" coordsize="21600,21600" o:gfxdata="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">
                <v:fill on="t" focussize="0,0"/>
                <v:stroke color="#000000" joinstyle="miter" dashstyle="dash"/>
                <v:imagedata o:title=""/>
                <o:lock v:ext="edit" aspectratio="f"/>
                <v:textbox>
                  <w:txbxContent>
                    <w:p w14:paraId="6A051147">
                      <w:pPr>
                        <w:jc w:val="center"/>
                        <w:rPr>
                          <w:b/>
                          <w:sz w:val="42"/>
                        </w:rPr>
                      </w:pPr>
                    </w:p>
                    <w:p w14:paraId="1FC6F459">
                      <w:pPr>
                        <w:jc w:val="center"/>
                        <w:rPr>
                          <w:rFonts w:ascii="仿宋_GB2312" w:hAnsi="仿宋_GB2312" w:eastAsia="仿宋_GB2312" w:cs="仿宋_GB2312"/>
                          <w:b/>
                          <w:sz w:val="42"/>
                        </w:rPr>
                      </w:pPr>
                      <w:r>
                        <w:rPr>
                          <w:rFonts w:hint="eastAsia" w:ascii="仿宋_GB2312" w:hAnsi="仿宋_GB2312" w:eastAsia="仿宋_GB2312" w:cs="仿宋_GB2312"/>
                          <w:b/>
                          <w:sz w:val="42"/>
                        </w:rPr>
                        <w:t>敬  告</w:t>
                      </w:r>
                    </w:p>
                    <w:p w14:paraId="2690A4BB">
                      <w:pPr>
                        <w:rPr>
                          <w:rFonts w:ascii="仿宋_GB2312" w:hAnsi="仿宋_GB2312" w:eastAsia="仿宋_GB2312" w:cs="仿宋_GB2312"/>
                          <w:sz w:val="24"/>
                        </w:rPr>
                      </w:pPr>
                    </w:p>
                    <w:p w14:paraId="76828A2C">
                      <w:pPr>
                        <w:ind w:left="360" w:hanging="360" w:hangingChars="150"/>
                        <w:rPr>
                          <w:rFonts w:ascii="仿宋_GB2312" w:hAnsi="仿宋_GB2312" w:eastAsia="仿宋_GB2312" w:cs="仿宋_GB2312"/>
                          <w:sz w:val="24"/>
                        </w:rPr>
                      </w:pPr>
                      <w:r>
                        <w:rPr>
                          <w:rFonts w:hint="eastAsia" w:ascii="仿宋_GB2312" w:hAnsi="仿宋_GB2312" w:eastAsia="仿宋_GB2312" w:cs="仿宋_GB2312"/>
                          <w:sz w:val="24"/>
                        </w:rPr>
                        <w:t>1、申请人在填表前，应认真阅读并理解</w:t>
                      </w:r>
                      <w:r>
                        <w:rPr>
                          <w:rFonts w:hint="eastAsia" w:ascii="仿宋_GB2312" w:hAnsi="仿宋_GB2312" w:eastAsia="仿宋_GB2312" w:cs="仿宋_GB2312"/>
                          <w:sz w:val="24"/>
                          <w:szCs w:val="22"/>
                        </w:rPr>
                        <w:t>《</w:t>
                      </w:r>
                      <w:r>
                        <w:rPr>
                          <w:rFonts w:hint="eastAsia" w:ascii="仿宋_GB2312" w:hAnsi="仿宋_GB2312" w:eastAsia="仿宋_GB2312" w:cs="仿宋_GB2312"/>
                          <w:sz w:val="24"/>
                          <w:szCs w:val="22"/>
                          <w:lang w:val="en-US" w:eastAsia="zh-CN"/>
                        </w:rPr>
                        <w:t>屯昌</w:t>
                      </w:r>
                      <w:r>
                        <w:rPr>
                          <w:rFonts w:hint="eastAsia" w:ascii="仿宋_GB2312" w:hAnsi="仿宋_GB2312" w:eastAsia="仿宋_GB2312" w:cs="仿宋_GB2312"/>
                          <w:sz w:val="24"/>
                          <w:szCs w:val="22"/>
                        </w:rPr>
                        <w:t>农村产权交易</w:t>
                      </w:r>
                      <w:r>
                        <w:rPr>
                          <w:rFonts w:hint="eastAsia" w:ascii="仿宋_GB2312" w:hAnsi="仿宋_GB2312" w:eastAsia="仿宋_GB2312" w:cs="仿宋_GB2312"/>
                          <w:sz w:val="24"/>
                          <w:szCs w:val="22"/>
                          <w:lang w:val="en-US" w:eastAsia="zh-CN"/>
                        </w:rPr>
                        <w:t>中心</w:t>
                      </w:r>
                      <w:r>
                        <w:rPr>
                          <w:rFonts w:hint="eastAsia" w:ascii="仿宋_GB2312" w:hAnsi="仿宋_GB2312" w:eastAsia="仿宋_GB2312" w:cs="仿宋_GB2312"/>
                          <w:sz w:val="24"/>
                          <w:szCs w:val="22"/>
                        </w:rPr>
                        <w:t>交易规则（试行）</w:t>
                      </w:r>
                      <w:r>
                        <w:rPr>
                          <w:rFonts w:hint="eastAsia" w:ascii="仿宋_GB2312" w:hAnsi="仿宋_GB2312" w:eastAsia="仿宋_GB2312" w:cs="仿宋_GB2312"/>
                          <w:sz w:val="24"/>
                        </w:rPr>
                        <w:t>》及相关规定。</w:t>
                      </w:r>
                    </w:p>
                    <w:p w14:paraId="03DCF2CC">
                      <w:pPr>
                        <w:rPr>
                          <w:rFonts w:ascii="仿宋_GB2312" w:hAnsi="仿宋_GB2312" w:eastAsia="仿宋_GB2312" w:cs="仿宋_GB2312"/>
                          <w:sz w:val="24"/>
                        </w:rPr>
                      </w:pPr>
                      <w:r>
                        <w:rPr>
                          <w:rFonts w:hint="eastAsia" w:ascii="仿宋_GB2312" w:hAnsi="仿宋_GB2312" w:eastAsia="仿宋_GB2312" w:cs="仿宋_GB2312"/>
                          <w:sz w:val="24"/>
                        </w:rPr>
                        <w:t>2、申请书各项内容务请如实、准确填写。</w:t>
                      </w:r>
                    </w:p>
                    <w:p w14:paraId="341354AC">
                      <w:pPr>
                        <w:rPr>
                          <w:rFonts w:ascii="仿宋_GB2312" w:hAnsi="仿宋_GB2312" w:eastAsia="仿宋_GB2312" w:cs="仿宋_GB2312"/>
                          <w:sz w:val="24"/>
                        </w:rPr>
                      </w:pPr>
                      <w:r>
                        <w:rPr>
                          <w:rFonts w:hint="eastAsia" w:ascii="仿宋_GB2312" w:hAnsi="仿宋_GB2312" w:eastAsia="仿宋_GB2312" w:cs="仿宋_GB2312"/>
                          <w:sz w:val="24"/>
                        </w:rPr>
                        <w:t>3、填写时请使用黑色墨水，字迹工整，不得涂改。</w:t>
                      </w:r>
                    </w:p>
                    <w:p w14:paraId="1CBFAB0E">
                      <w:pPr>
                        <w:rPr>
                          <w:rFonts w:ascii="仿宋_GB2312" w:hAnsi="仿宋_GB2312" w:eastAsia="仿宋_GB2312" w:cs="仿宋_GB2312"/>
                          <w:sz w:val="24"/>
                        </w:rPr>
                      </w:pPr>
                      <w:r>
                        <w:rPr>
                          <w:rFonts w:hint="eastAsia" w:ascii="仿宋_GB2312" w:hAnsi="仿宋_GB2312" w:eastAsia="仿宋_GB2312" w:cs="仿宋_GB2312"/>
                          <w:sz w:val="24"/>
                        </w:rPr>
                        <w:t>4、本申请书请申请方加盖骑缝章。</w:t>
                      </w:r>
                    </w:p>
                  </w:txbxContent>
                </v:textbox>
              </v:rect>
            </w:pict>
          </mc:Fallback>
        </mc:AlternateContent>
      </w:r>
    </w:p>
    <w:p w14:paraId="2CD6FC82">
      <w:pPr>
        <w:rPr>
          <w:rFonts w:ascii="仿宋_GB2312" w:hAnsi="仿宋_GB2312" w:eastAsia="仿宋_GB2312" w:cs="仿宋_GB2312"/>
          <w:color w:val="auto"/>
          <w:sz w:val="30"/>
          <w:szCs w:val="30"/>
        </w:rPr>
      </w:pPr>
    </w:p>
    <w:p w14:paraId="06AE0C79">
      <w:pPr>
        <w:rPr>
          <w:rFonts w:ascii="仿宋_GB2312" w:hAnsi="仿宋_GB2312" w:eastAsia="仿宋_GB2312" w:cs="仿宋_GB2312"/>
          <w:color w:val="auto"/>
          <w:sz w:val="30"/>
          <w:szCs w:val="30"/>
        </w:rPr>
      </w:pPr>
    </w:p>
    <w:p w14:paraId="4318BD40">
      <w:pPr>
        <w:rPr>
          <w:rFonts w:ascii="仿宋_GB2312" w:hAnsi="仿宋_GB2312" w:eastAsia="仿宋_GB2312" w:cs="仿宋_GB2312"/>
          <w:color w:val="auto"/>
          <w:sz w:val="30"/>
          <w:szCs w:val="30"/>
        </w:rPr>
      </w:pPr>
    </w:p>
    <w:p w14:paraId="326C9F16">
      <w:pPr>
        <w:rPr>
          <w:rFonts w:ascii="仿宋_GB2312" w:hAnsi="仿宋_GB2312" w:eastAsia="仿宋_GB2312" w:cs="仿宋_GB2312"/>
          <w:color w:val="auto"/>
          <w:sz w:val="30"/>
          <w:szCs w:val="30"/>
        </w:rPr>
      </w:pPr>
    </w:p>
    <w:p w14:paraId="05F1C06E">
      <w:pPr>
        <w:rPr>
          <w:rFonts w:ascii="仿宋_GB2312" w:hAnsi="仿宋_GB2312" w:eastAsia="仿宋_GB2312" w:cs="仿宋_GB2312"/>
          <w:color w:val="auto"/>
          <w:sz w:val="30"/>
          <w:szCs w:val="30"/>
        </w:rPr>
      </w:pPr>
    </w:p>
    <w:p w14:paraId="3581738D">
      <w:pPr>
        <w:rPr>
          <w:rFonts w:ascii="仿宋_GB2312" w:hAnsi="仿宋_GB2312" w:eastAsia="仿宋_GB2312" w:cs="仿宋_GB2312"/>
          <w:color w:val="auto"/>
          <w:sz w:val="30"/>
          <w:szCs w:val="30"/>
        </w:rPr>
      </w:pPr>
    </w:p>
    <w:p w14:paraId="1EC99C58">
      <w:pPr>
        <w:rPr>
          <w:rFonts w:ascii="仿宋_GB2312" w:hAnsi="仿宋_GB2312" w:eastAsia="仿宋_GB2312" w:cs="仿宋_GB2312"/>
          <w:color w:val="auto"/>
          <w:sz w:val="30"/>
          <w:szCs w:val="30"/>
        </w:rPr>
      </w:pPr>
    </w:p>
    <w:p w14:paraId="0BC67BA8">
      <w:pPr>
        <w:pStyle w:val="6"/>
        <w:rPr>
          <w:color w:val="auto"/>
        </w:rPr>
      </w:pPr>
    </w:p>
    <w:p w14:paraId="36D4572D">
      <w:pPr>
        <w:jc w:val="center"/>
        <w:rPr>
          <w:rFonts w:ascii="仿宋_GB2312" w:hAnsi="仿宋_GB2312" w:eastAsia="仿宋_GB2312" w:cs="仿宋_GB2312"/>
          <w:b/>
          <w:color w:val="auto"/>
          <w:sz w:val="36"/>
          <w:szCs w:val="30"/>
        </w:rPr>
      </w:pPr>
      <w:r>
        <w:rPr>
          <w:rFonts w:hint="eastAsia" w:ascii="仿宋_GB2312" w:hAnsi="仿宋_GB2312" w:eastAsia="仿宋_GB2312" w:cs="仿宋_GB2312"/>
          <w:b/>
          <w:color w:val="auto"/>
          <w:sz w:val="36"/>
          <w:szCs w:val="30"/>
          <w:lang w:val="en-US" w:eastAsia="zh-CN"/>
        </w:rPr>
        <w:t>屯昌县农村产权交易中心</w:t>
      </w:r>
      <w:r>
        <w:rPr>
          <w:rFonts w:hint="eastAsia" w:ascii="仿宋_GB2312" w:hAnsi="仿宋_GB2312" w:eastAsia="仿宋_GB2312" w:cs="仿宋_GB2312"/>
          <w:b/>
          <w:color w:val="auto"/>
          <w:sz w:val="36"/>
          <w:szCs w:val="30"/>
        </w:rPr>
        <w:t>有限公司制</w:t>
      </w:r>
    </w:p>
    <w:p w14:paraId="4EE71ADE">
      <w:pPr>
        <w:widowControl/>
        <w:jc w:val="left"/>
        <w:rPr>
          <w:rFonts w:ascii="仿宋_GB2312" w:hAnsi="仿宋_GB2312" w:eastAsia="仿宋_GB2312" w:cs="仿宋_GB2312"/>
          <w:color w:val="auto"/>
          <w:sz w:val="30"/>
          <w:szCs w:val="30"/>
        </w:rPr>
      </w:pPr>
      <w:r>
        <w:rPr>
          <w:rFonts w:ascii="仿宋_GB2312" w:hAnsi="仿宋_GB2312" w:eastAsia="仿宋_GB2312" w:cs="仿宋_GB2312"/>
          <w:color w:val="auto"/>
          <w:sz w:val="30"/>
          <w:szCs w:val="30"/>
        </w:rPr>
        <w:br w:type="page"/>
      </w:r>
    </w:p>
    <w:p w14:paraId="6B61F397">
      <w:pPr>
        <w:pStyle w:val="3"/>
        <w:spacing w:line="400" w:lineRule="exact"/>
        <w:rPr>
          <w:rFonts w:hint="eastAsia" w:ascii="新宋体" w:hAnsi="新宋体" w:eastAsia="新宋体" w:cs="新宋体"/>
          <w:b/>
          <w:bCs/>
          <w:color w:val="auto"/>
          <w:sz w:val="28"/>
          <w:szCs w:val="28"/>
        </w:rPr>
      </w:pPr>
      <w:r>
        <w:rPr>
          <w:rFonts w:hint="eastAsia" w:ascii="新宋体" w:hAnsi="新宋体" w:eastAsia="新宋体" w:cs="新宋体"/>
          <w:b/>
          <w:bCs/>
          <w:color w:val="auto"/>
          <w:sz w:val="28"/>
          <w:szCs w:val="28"/>
        </w:rPr>
        <w:t>意向承租（受让）函</w:t>
      </w:r>
    </w:p>
    <w:p w14:paraId="0474E8C9">
      <w:pPr>
        <w:rPr>
          <w:rFonts w:hint="eastAsia" w:ascii="新宋体" w:hAnsi="新宋体" w:eastAsia="新宋体" w:cs="新宋体"/>
          <w:bCs/>
          <w:color w:val="auto"/>
          <w:sz w:val="24"/>
          <w:szCs w:val="24"/>
        </w:rPr>
      </w:pPr>
      <w:r>
        <w:rPr>
          <w:rFonts w:hint="eastAsia" w:ascii="新宋体" w:hAnsi="新宋体" w:eastAsia="新宋体" w:cs="新宋体"/>
          <w:color w:val="auto"/>
          <w:sz w:val="24"/>
          <w:szCs w:val="24"/>
          <w:lang w:val="en-US" w:eastAsia="zh-CN"/>
        </w:rPr>
        <w:t>屯昌县农村产权交易中心</w:t>
      </w:r>
      <w:r>
        <w:rPr>
          <w:rFonts w:hint="eastAsia" w:ascii="新宋体" w:hAnsi="新宋体" w:eastAsia="新宋体" w:cs="新宋体"/>
          <w:color w:val="auto"/>
          <w:sz w:val="24"/>
          <w:szCs w:val="24"/>
        </w:rPr>
        <w:t>有限公司：</w:t>
      </w:r>
    </w:p>
    <w:p w14:paraId="0FE0754C">
      <w:pPr>
        <w:spacing w:line="440" w:lineRule="exact"/>
        <w:ind w:firstLine="480" w:firstLineChars="200"/>
        <w:rPr>
          <w:rFonts w:hint="eastAsia" w:ascii="新宋体" w:hAnsi="新宋体" w:eastAsia="新宋体" w:cs="新宋体"/>
          <w:color w:val="auto"/>
          <w:sz w:val="24"/>
          <w:szCs w:val="24"/>
        </w:rPr>
      </w:pPr>
      <w:r>
        <w:rPr>
          <w:rFonts w:hint="eastAsia" w:ascii="新宋体" w:hAnsi="新宋体" w:eastAsia="新宋体" w:cs="新宋体"/>
          <w:color w:val="auto"/>
          <w:sz w:val="24"/>
          <w:szCs w:val="24"/>
        </w:rPr>
        <mc:AlternateContent>
          <mc:Choice Requires="wps">
            <w:drawing>
              <wp:anchor distT="0" distB="0" distL="114300" distR="114300" simplePos="0" relativeHeight="251662336" behindDoc="0" locked="0" layoutInCell="1" allowOverlap="1">
                <wp:simplePos x="0" y="0"/>
                <wp:positionH relativeFrom="column">
                  <wp:posOffset>2400300</wp:posOffset>
                </wp:positionH>
                <wp:positionV relativeFrom="paragraph">
                  <wp:posOffset>631825</wp:posOffset>
                </wp:positionV>
                <wp:extent cx="635" cy="0"/>
                <wp:effectExtent l="0" t="0" r="0" b="0"/>
                <wp:wrapNone/>
                <wp:docPr id="143" name="直接连接符 143"/>
                <wp:cNvGraphicFramePr/>
                <a:graphic xmlns:a="http://schemas.openxmlformats.org/drawingml/2006/main">
                  <a:graphicData uri="http://schemas.microsoft.com/office/word/2010/wordprocessingShape">
                    <wps:wsp>
                      <wps:cNvCnPr/>
                      <wps:spPr>
                        <a:xfrm>
                          <a:off x="0" y="0"/>
                          <a:ext cx="635" cy="0"/>
                        </a:xfrm>
                        <a:prstGeom prst="line">
                          <a:avLst/>
                        </a:prstGeom>
                        <a:ln w="9525" cap="flat" cmpd="sng">
                          <a:solidFill>
                            <a:srgbClr val="000000"/>
                          </a:solidFill>
                          <a:prstDash val="solid"/>
                          <a:headEnd type="none" w="med" len="med"/>
                          <a:tailEnd type="none" w="med" len="med"/>
                        </a:ln>
                        <a:effectLst/>
                      </wps:spPr>
                      <wps:bodyPr/>
                    </wps:wsp>
                  </a:graphicData>
                </a:graphic>
              </wp:anchor>
            </w:drawing>
          </mc:Choice>
          <mc:Fallback>
            <w:pict>
              <v:line id="_x0000_s1026" o:spid="_x0000_s1026" o:spt="20" style="position:absolute;left:0pt;margin-left:189pt;margin-top:49.75pt;height:0pt;width:0.05pt;z-index:251662336;mso-width-relative:page;mso-height-relative:page;" filled="f" stroked="t" coordsize="21600,21600" o:gfxdata="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">
                <v:fill on="f" focussize="0,0"/>
                <v:stroke color="#000000" joinstyle="round"/>
                <v:imagedata o:title=""/>
                <o:lock v:ext="edit" aspectratio="f"/>
              </v:line>
            </w:pict>
          </mc:Fallback>
        </mc:AlternateContent>
      </w:r>
      <w:r>
        <w:rPr>
          <w:rFonts w:hint="eastAsia" w:ascii="新宋体" w:hAnsi="新宋体" w:eastAsia="新宋体" w:cs="新宋体"/>
          <w:color w:val="auto"/>
          <w:sz w:val="24"/>
          <w:szCs w:val="24"/>
        </w:rPr>
        <mc:AlternateContent>
          <mc:Choice Requires="wps">
            <w:drawing>
              <wp:anchor distT="0" distB="0" distL="114300" distR="114300" simplePos="0" relativeHeight="251661312" behindDoc="0" locked="0" layoutInCell="1" allowOverlap="1">
                <wp:simplePos x="0" y="0"/>
                <wp:positionH relativeFrom="column">
                  <wp:posOffset>2400300</wp:posOffset>
                </wp:positionH>
                <wp:positionV relativeFrom="paragraph">
                  <wp:posOffset>631825</wp:posOffset>
                </wp:positionV>
                <wp:extent cx="635" cy="0"/>
                <wp:effectExtent l="0" t="0" r="0" b="0"/>
                <wp:wrapNone/>
                <wp:docPr id="144" name="直接连接符 144"/>
                <wp:cNvGraphicFramePr/>
                <a:graphic xmlns:a="http://schemas.openxmlformats.org/drawingml/2006/main">
                  <a:graphicData uri="http://schemas.microsoft.com/office/word/2010/wordprocessingShape">
                    <wps:wsp>
                      <wps:cNvCnPr/>
                      <wps:spPr>
                        <a:xfrm>
                          <a:off x="0" y="0"/>
                          <a:ext cx="635" cy="0"/>
                        </a:xfrm>
                        <a:prstGeom prst="line">
                          <a:avLst/>
                        </a:prstGeom>
                        <a:ln w="9525" cap="flat" cmpd="sng">
                          <a:solidFill>
                            <a:srgbClr val="000000"/>
                          </a:solidFill>
                          <a:prstDash val="solid"/>
                          <a:headEnd type="none" w="med" len="med"/>
                          <a:tailEnd type="none" w="med" len="med"/>
                        </a:ln>
                        <a:effectLst/>
                      </wps:spPr>
                      <wps:bodyPr/>
                    </wps:wsp>
                  </a:graphicData>
                </a:graphic>
              </wp:anchor>
            </w:drawing>
          </mc:Choice>
          <mc:Fallback>
            <w:pict>
              <v:line id="_x0000_s1026" o:spid="_x0000_s1026" o:spt="20" style="position:absolute;left:0pt;margin-left:189pt;margin-top:49.75pt;height:0pt;width:0.05pt;z-index:251661312;mso-width-relative:page;mso-height-relative:page;" filled="f" stroked="t" coordsize="21600,21600" o:gfxdata="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">
                <v:fill on="f" focussize="0,0"/>
                <v:stroke color="#000000" joinstyle="round"/>
                <v:imagedata o:title=""/>
                <o:lock v:ext="edit" aspectratio="f"/>
              </v:line>
            </w:pict>
          </mc:Fallback>
        </mc:AlternateContent>
      </w:r>
      <w:r>
        <w:rPr>
          <w:rFonts w:hint="eastAsia" w:ascii="新宋体" w:hAnsi="新宋体" w:eastAsia="新宋体" w:cs="新宋体"/>
          <w:bCs/>
          <w:color w:val="auto"/>
          <w:sz w:val="24"/>
          <w:szCs w:val="24"/>
        </w:rPr>
        <w:t>根据有关农村产权流转交易的法律法规及政策规定，本意向方现向</w:t>
      </w:r>
      <w:r>
        <w:rPr>
          <w:rFonts w:hint="eastAsia" w:ascii="新宋体" w:hAnsi="新宋体" w:eastAsia="新宋体" w:cs="新宋体"/>
          <w:bCs/>
          <w:color w:val="auto"/>
          <w:sz w:val="24"/>
          <w:szCs w:val="24"/>
          <w:lang w:val="en-US" w:eastAsia="zh-CN"/>
        </w:rPr>
        <w:t>屯昌县农村产权交易服务平台</w:t>
      </w:r>
      <w:r>
        <w:rPr>
          <w:rFonts w:hint="eastAsia" w:ascii="新宋体" w:hAnsi="新宋体" w:eastAsia="新宋体" w:cs="新宋体"/>
          <w:bCs/>
          <w:color w:val="auto"/>
          <w:sz w:val="24"/>
          <w:szCs w:val="24"/>
        </w:rPr>
        <w:t>（</w:t>
      </w:r>
      <w:r>
        <w:rPr>
          <w:rFonts w:hint="eastAsia" w:ascii="新宋体" w:hAnsi="新宋体" w:eastAsia="新宋体" w:cs="新宋体"/>
          <w:color w:val="auto"/>
          <w:sz w:val="24"/>
          <w:szCs w:val="24"/>
        </w:rPr>
        <w:t>https://tunchang.nongjiao.com/</w:t>
      </w:r>
      <w:r>
        <w:rPr>
          <w:rFonts w:hint="eastAsia" w:ascii="新宋体" w:hAnsi="新宋体" w:eastAsia="新宋体" w:cs="新宋体"/>
          <w:bCs/>
          <w:color w:val="auto"/>
          <w:sz w:val="24"/>
          <w:szCs w:val="24"/>
        </w:rPr>
        <w:t>，以下简称“平台”）申请承租（受让）</w:t>
      </w:r>
      <w:r>
        <w:rPr>
          <w:rFonts w:hint="eastAsia" w:ascii="新宋体" w:hAnsi="新宋体" w:eastAsia="新宋体" w:cs="新宋体"/>
          <w:bCs/>
          <w:color w:val="auto"/>
          <w:sz w:val="24"/>
          <w:szCs w:val="24"/>
          <w:u w:val="single"/>
          <w:lang w:val="en-US" w:eastAsia="zh-CN"/>
        </w:rPr>
        <w:t>屯昌县屯城镇兴盛小区103号109.61㎡商铺出租</w:t>
      </w:r>
      <w:r>
        <w:rPr>
          <w:rFonts w:hint="eastAsia" w:ascii="新宋体" w:hAnsi="新宋体" w:eastAsia="新宋体" w:cs="新宋体"/>
          <w:bCs/>
          <w:color w:val="auto"/>
          <w:sz w:val="24"/>
          <w:szCs w:val="24"/>
        </w:rPr>
        <w:t>，并承诺：</w:t>
      </w:r>
    </w:p>
    <w:p w14:paraId="66E36E10">
      <w:pPr>
        <w:spacing w:line="440" w:lineRule="exact"/>
        <w:ind w:firstLine="482" w:firstLineChars="200"/>
        <w:rPr>
          <w:rFonts w:hint="eastAsia" w:ascii="新宋体" w:hAnsi="新宋体" w:eastAsia="新宋体" w:cs="新宋体"/>
          <w:b/>
          <w:color w:val="auto"/>
          <w:sz w:val="24"/>
          <w:szCs w:val="24"/>
        </w:rPr>
      </w:pPr>
      <w:r>
        <w:rPr>
          <w:rFonts w:hint="eastAsia" w:ascii="新宋体" w:hAnsi="新宋体" w:eastAsia="新宋体" w:cs="新宋体"/>
          <w:b/>
          <w:color w:val="auto"/>
          <w:sz w:val="24"/>
          <w:szCs w:val="24"/>
        </w:rPr>
        <w:t>1、我方申请承租（受让）该项目，并接受项目公开挂牌信息所载的全部承租（受让）要求，我方承租（受让）行为已经过相应的有效内部决策并得到相应批准。</w:t>
      </w:r>
    </w:p>
    <w:p w14:paraId="7C9ACC84">
      <w:pPr>
        <w:spacing w:line="440" w:lineRule="exact"/>
        <w:ind w:firstLine="482" w:firstLineChars="200"/>
        <w:rPr>
          <w:rFonts w:hint="eastAsia" w:ascii="新宋体" w:hAnsi="新宋体" w:eastAsia="新宋体" w:cs="新宋体"/>
          <w:b/>
          <w:color w:val="auto"/>
          <w:sz w:val="24"/>
          <w:szCs w:val="24"/>
        </w:rPr>
      </w:pPr>
      <w:r>
        <w:rPr>
          <w:rFonts w:hint="eastAsia" w:ascii="新宋体" w:hAnsi="新宋体" w:eastAsia="新宋体" w:cs="新宋体"/>
          <w:b/>
          <w:color w:val="auto"/>
          <w:sz w:val="24"/>
          <w:szCs w:val="24"/>
        </w:rPr>
        <w:t>2、我方具有良好的财务状况、商业信用和农业投资经营能力，符合农村产权相关法律法规及政策对承租（受让）方条件的规定。</w:t>
      </w:r>
    </w:p>
    <w:p w14:paraId="5C980B9B">
      <w:pPr>
        <w:spacing w:line="440" w:lineRule="exact"/>
        <w:ind w:firstLine="482" w:firstLineChars="200"/>
        <w:rPr>
          <w:rFonts w:hint="eastAsia" w:ascii="新宋体" w:hAnsi="新宋体" w:eastAsia="新宋体" w:cs="新宋体"/>
          <w:b/>
          <w:color w:val="auto"/>
          <w:sz w:val="24"/>
          <w:szCs w:val="24"/>
        </w:rPr>
      </w:pPr>
      <w:r>
        <w:rPr>
          <w:rFonts w:hint="eastAsia" w:ascii="新宋体" w:hAnsi="新宋体" w:eastAsia="新宋体" w:cs="新宋体"/>
          <w:b/>
          <w:color w:val="auto"/>
          <w:sz w:val="24"/>
          <w:szCs w:val="24"/>
        </w:rPr>
        <w:t>3、我方对所填写的内容及提交的所有材料（包括原件、复印件）的真实性、合法性、有效性、完整性承担责任。</w:t>
      </w:r>
    </w:p>
    <w:p w14:paraId="24C8583C">
      <w:pPr>
        <w:spacing w:line="440" w:lineRule="exact"/>
        <w:ind w:firstLine="482" w:firstLineChars="200"/>
        <w:rPr>
          <w:rFonts w:hint="eastAsia" w:ascii="新宋体" w:hAnsi="新宋体" w:eastAsia="新宋体" w:cs="新宋体"/>
          <w:b/>
          <w:color w:val="auto"/>
          <w:sz w:val="24"/>
          <w:szCs w:val="24"/>
        </w:rPr>
      </w:pPr>
      <w:r>
        <w:rPr>
          <w:rFonts w:hint="eastAsia" w:ascii="新宋体" w:hAnsi="新宋体" w:eastAsia="新宋体" w:cs="新宋体"/>
          <w:b/>
          <w:color w:val="auto"/>
          <w:sz w:val="24"/>
          <w:szCs w:val="24"/>
        </w:rPr>
        <w:t>4、已知悉贵服务平台的交易规则，并充分理解和认可，同意按照贵服务平台《</w:t>
      </w:r>
      <w:r>
        <w:rPr>
          <w:rFonts w:hint="eastAsia" w:ascii="新宋体" w:hAnsi="新宋体" w:eastAsia="新宋体" w:cs="新宋体"/>
          <w:b/>
          <w:color w:val="auto"/>
          <w:sz w:val="24"/>
          <w:szCs w:val="24"/>
          <w:lang w:val="en-US" w:eastAsia="zh-CN"/>
        </w:rPr>
        <w:t>屯昌县农村产权交易服务平台</w:t>
      </w:r>
      <w:r>
        <w:rPr>
          <w:rFonts w:hint="eastAsia" w:ascii="新宋体" w:hAnsi="新宋体" w:eastAsia="新宋体" w:cs="新宋体"/>
          <w:b/>
          <w:color w:val="auto"/>
          <w:sz w:val="24"/>
          <w:szCs w:val="24"/>
        </w:rPr>
        <w:t>产权交易规则（试行）》等相关规定实施农村产权流转活动；信息公告期满后，若只征集到一个意向方，则协议成交；若征集到两个或两个以上意向方，则遵照相关规定，参与网络竞价。</w:t>
      </w:r>
    </w:p>
    <w:p w14:paraId="5B5BCB3D">
      <w:pPr>
        <w:spacing w:line="440" w:lineRule="exact"/>
        <w:ind w:firstLine="482" w:firstLineChars="200"/>
        <w:rPr>
          <w:rFonts w:hint="eastAsia" w:ascii="新宋体" w:hAnsi="新宋体" w:eastAsia="新宋体" w:cs="新宋体"/>
          <w:b/>
          <w:color w:val="auto"/>
          <w:sz w:val="24"/>
          <w:szCs w:val="24"/>
        </w:rPr>
      </w:pPr>
      <w:r>
        <w:rPr>
          <w:rFonts w:hint="eastAsia" w:ascii="新宋体" w:hAnsi="新宋体" w:eastAsia="新宋体" w:cs="新宋体"/>
          <w:b/>
          <w:color w:val="auto"/>
          <w:sz w:val="24"/>
          <w:szCs w:val="24"/>
        </w:rPr>
        <w:t>5、已知悉并认可贵服务平台的收费项目及标准，同意按规定交纳相关费用。</w:t>
      </w:r>
    </w:p>
    <w:p w14:paraId="0CE152A5">
      <w:pPr>
        <w:spacing w:line="440" w:lineRule="exact"/>
        <w:ind w:firstLine="482" w:firstLineChars="200"/>
        <w:rPr>
          <w:rFonts w:hint="eastAsia" w:ascii="新宋体" w:hAnsi="新宋体" w:eastAsia="新宋体" w:cs="新宋体"/>
          <w:b/>
          <w:color w:val="auto"/>
          <w:sz w:val="24"/>
          <w:szCs w:val="24"/>
        </w:rPr>
      </w:pPr>
      <w:r>
        <w:rPr>
          <w:rFonts w:hint="eastAsia" w:ascii="新宋体" w:hAnsi="新宋体" w:eastAsia="新宋体" w:cs="新宋体"/>
          <w:b/>
          <w:color w:val="auto"/>
          <w:sz w:val="24"/>
          <w:szCs w:val="24"/>
        </w:rPr>
        <w:t>6、本次意向申请系我方真实意愿，一经作出不予撤回或变更，我方将及时办理相关手续，配合接受资格审核，严格遵守有关交易规则。</w:t>
      </w:r>
    </w:p>
    <w:p w14:paraId="48512979">
      <w:pPr>
        <w:spacing w:line="440" w:lineRule="exact"/>
        <w:ind w:firstLine="482" w:firstLineChars="200"/>
        <w:rPr>
          <w:rFonts w:hint="eastAsia" w:ascii="新宋体" w:hAnsi="新宋体" w:eastAsia="新宋体" w:cs="新宋体"/>
          <w:b/>
          <w:color w:val="auto"/>
          <w:sz w:val="24"/>
          <w:szCs w:val="24"/>
        </w:rPr>
      </w:pPr>
      <w:bookmarkStart w:id="16" w:name="_Toc13357"/>
      <w:bookmarkStart w:id="17" w:name="_Toc11532"/>
      <w:bookmarkStart w:id="18" w:name="_Toc28981"/>
      <w:r>
        <w:rPr>
          <w:rFonts w:hint="eastAsia" w:ascii="新宋体" w:hAnsi="新宋体" w:eastAsia="新宋体" w:cs="新宋体"/>
          <w:b/>
          <w:color w:val="auto"/>
          <w:sz w:val="24"/>
          <w:szCs w:val="24"/>
        </w:rPr>
        <w:t>7、我方承诺不通过其他渠道进行本项目交易。</w:t>
      </w:r>
      <w:bookmarkEnd w:id="16"/>
      <w:bookmarkEnd w:id="17"/>
      <w:bookmarkEnd w:id="18"/>
    </w:p>
    <w:p w14:paraId="3FB280D4">
      <w:pPr>
        <w:pStyle w:val="6"/>
        <w:spacing w:line="440" w:lineRule="exact"/>
        <w:ind w:firstLine="482" w:firstLineChars="200"/>
        <w:rPr>
          <w:rFonts w:hint="eastAsia" w:ascii="新宋体" w:hAnsi="新宋体" w:eastAsia="新宋体" w:cs="新宋体"/>
          <w:b/>
          <w:color w:val="auto"/>
          <w:sz w:val="24"/>
          <w:szCs w:val="24"/>
        </w:rPr>
      </w:pPr>
      <w:r>
        <w:rPr>
          <w:rFonts w:hint="eastAsia" w:ascii="新宋体" w:hAnsi="新宋体" w:eastAsia="新宋体" w:cs="新宋体"/>
          <w:b/>
          <w:color w:val="auto"/>
          <w:sz w:val="24"/>
          <w:szCs w:val="24"/>
        </w:rPr>
        <w:t>8、我方承诺在项目中标收到《标的竞得书》之后的规定时间内，完成合同签订及相关事宜，合同签订期间禁止将中标项目转让他人。</w:t>
      </w:r>
    </w:p>
    <w:p w14:paraId="53D1B95F">
      <w:pPr>
        <w:spacing w:line="440" w:lineRule="exact"/>
        <w:ind w:firstLine="482" w:firstLineChars="200"/>
        <w:rPr>
          <w:rFonts w:hint="eastAsia" w:ascii="新宋体" w:hAnsi="新宋体" w:eastAsia="新宋体" w:cs="新宋体"/>
          <w:b/>
          <w:color w:val="auto"/>
          <w:sz w:val="24"/>
          <w:szCs w:val="24"/>
        </w:rPr>
      </w:pPr>
      <w:r>
        <w:rPr>
          <w:rFonts w:hint="eastAsia" w:ascii="新宋体" w:hAnsi="新宋体" w:eastAsia="新宋体" w:cs="新宋体"/>
          <w:b/>
          <w:color w:val="auto"/>
          <w:sz w:val="24"/>
          <w:szCs w:val="24"/>
        </w:rPr>
        <w:t>9、我方承诺按平台规定交纳交易保证金，若我方无故放弃本项目或因我方自身原因放弃本项目的，视为违约，我方交纳的交易保证金将不予退还，作为违约金扣除。</w:t>
      </w:r>
    </w:p>
    <w:p w14:paraId="678865FC">
      <w:pPr>
        <w:pStyle w:val="6"/>
        <w:spacing w:line="440" w:lineRule="exact"/>
        <w:rPr>
          <w:rFonts w:hint="eastAsia" w:ascii="新宋体" w:hAnsi="新宋体" w:eastAsia="新宋体" w:cs="新宋体"/>
          <w:bCs/>
          <w:color w:val="auto"/>
          <w:sz w:val="24"/>
          <w:szCs w:val="24"/>
        </w:rPr>
      </w:pPr>
      <w:bookmarkStart w:id="19" w:name="_Toc24611"/>
      <w:bookmarkStart w:id="20" w:name="_Toc31003"/>
      <w:bookmarkStart w:id="21" w:name="_Toc7009"/>
      <w:r>
        <w:rPr>
          <w:rFonts w:hint="eastAsia" w:ascii="新宋体" w:hAnsi="新宋体" w:eastAsia="新宋体" w:cs="新宋体"/>
          <w:b/>
          <w:color w:val="auto"/>
          <w:sz w:val="24"/>
          <w:szCs w:val="24"/>
        </w:rPr>
        <w:t>10、最终解释权归</w:t>
      </w:r>
      <w:r>
        <w:rPr>
          <w:rFonts w:hint="eastAsia" w:ascii="新宋体" w:hAnsi="新宋体" w:eastAsia="新宋体" w:cs="新宋体"/>
          <w:b/>
          <w:color w:val="auto"/>
          <w:sz w:val="24"/>
          <w:szCs w:val="24"/>
          <w:lang w:val="en-US" w:eastAsia="zh-CN"/>
        </w:rPr>
        <w:t>屯昌县农村产权交易中心</w:t>
      </w:r>
      <w:r>
        <w:rPr>
          <w:rFonts w:hint="eastAsia" w:ascii="新宋体" w:hAnsi="新宋体" w:eastAsia="新宋体" w:cs="新宋体"/>
          <w:b/>
          <w:color w:val="auto"/>
          <w:sz w:val="24"/>
          <w:szCs w:val="24"/>
        </w:rPr>
        <w:t>有限公司。</w:t>
      </w:r>
      <w:bookmarkEnd w:id="19"/>
      <w:bookmarkEnd w:id="20"/>
      <w:bookmarkEnd w:id="21"/>
    </w:p>
    <w:p w14:paraId="14A4E8C0">
      <w:pPr>
        <w:spacing w:line="312" w:lineRule="auto"/>
        <w:ind w:firstLine="3840" w:firstLineChars="1600"/>
        <w:rPr>
          <w:rFonts w:hint="eastAsia" w:ascii="新宋体" w:hAnsi="新宋体" w:eastAsia="新宋体" w:cs="新宋体"/>
          <w:color w:val="auto"/>
          <w:sz w:val="24"/>
          <w:szCs w:val="24"/>
        </w:rPr>
      </w:pPr>
    </w:p>
    <w:p w14:paraId="3C8EB2A6">
      <w:pPr>
        <w:spacing w:line="296" w:lineRule="auto"/>
        <w:ind w:firstLine="3840" w:firstLineChars="1600"/>
        <w:rPr>
          <w:rFonts w:hint="eastAsia" w:ascii="新宋体" w:hAnsi="新宋体" w:eastAsia="新宋体" w:cs="新宋体"/>
          <w:color w:val="auto"/>
          <w:sz w:val="24"/>
          <w:szCs w:val="24"/>
          <w:u w:val="single"/>
        </w:rPr>
      </w:pPr>
      <w:bookmarkStart w:id="22" w:name="_Toc30986"/>
      <w:bookmarkStart w:id="23" w:name="_Toc4535"/>
      <w:bookmarkStart w:id="24" w:name="_Toc29057"/>
      <w:r>
        <w:rPr>
          <w:rFonts w:hint="eastAsia" w:ascii="新宋体" w:hAnsi="新宋体" w:eastAsia="新宋体" w:cs="新宋体"/>
          <w:color w:val="auto"/>
          <w:sz w:val="24"/>
          <w:szCs w:val="24"/>
        </w:rPr>
        <w:t>申 请 单 位（盖章）：</w:t>
      </w:r>
      <w:bookmarkEnd w:id="22"/>
      <w:bookmarkEnd w:id="23"/>
      <w:bookmarkEnd w:id="24"/>
      <w:r>
        <w:rPr>
          <w:rFonts w:hint="eastAsia" w:ascii="新宋体" w:hAnsi="新宋体" w:eastAsia="新宋体" w:cs="新宋体"/>
          <w:color w:val="auto"/>
          <w:sz w:val="24"/>
          <w:szCs w:val="24"/>
          <w:u w:val="single"/>
        </w:rPr>
        <w:t xml:space="preserve">                                                    </w:t>
      </w:r>
    </w:p>
    <w:p w14:paraId="3CD1D0E7">
      <w:pPr>
        <w:spacing w:line="296" w:lineRule="auto"/>
        <w:ind w:firstLine="3840" w:firstLineChars="1600"/>
        <w:outlineLvl w:val="1"/>
        <w:rPr>
          <w:rFonts w:hint="eastAsia" w:ascii="新宋体" w:hAnsi="新宋体" w:eastAsia="新宋体" w:cs="新宋体"/>
          <w:color w:val="auto"/>
          <w:sz w:val="24"/>
          <w:szCs w:val="24"/>
          <w:u w:val="single"/>
        </w:rPr>
      </w:pPr>
      <w:bookmarkStart w:id="25" w:name="_Toc17490"/>
      <w:bookmarkStart w:id="26" w:name="_Toc9059"/>
      <w:r>
        <w:rPr>
          <w:rFonts w:hint="eastAsia" w:ascii="新宋体" w:hAnsi="新宋体" w:eastAsia="新宋体" w:cs="新宋体"/>
          <w:color w:val="auto"/>
          <w:sz w:val="24"/>
          <w:szCs w:val="24"/>
        </w:rPr>
        <w:t>法定代表人（签字）：</w:t>
      </w:r>
      <w:bookmarkEnd w:id="25"/>
      <w:bookmarkEnd w:id="26"/>
      <w:r>
        <w:rPr>
          <w:rFonts w:hint="eastAsia" w:ascii="新宋体" w:hAnsi="新宋体" w:eastAsia="新宋体" w:cs="新宋体"/>
          <w:color w:val="auto"/>
          <w:sz w:val="24"/>
          <w:szCs w:val="24"/>
          <w:u w:val="single"/>
        </w:rPr>
        <w:t xml:space="preserve">                          </w:t>
      </w:r>
    </w:p>
    <w:p w14:paraId="4A8064C5">
      <w:pPr>
        <w:spacing w:line="296" w:lineRule="auto"/>
        <w:rPr>
          <w:rFonts w:hint="eastAsia" w:ascii="新宋体" w:hAnsi="新宋体" w:eastAsia="新宋体" w:cs="新宋体"/>
          <w:color w:val="auto"/>
          <w:sz w:val="24"/>
          <w:szCs w:val="24"/>
        </w:rPr>
      </w:pPr>
      <w:r>
        <w:rPr>
          <w:rFonts w:hint="eastAsia" w:ascii="新宋体" w:hAnsi="新宋体" w:eastAsia="新宋体" w:cs="新宋体"/>
          <w:color w:val="auto"/>
          <w:sz w:val="24"/>
          <w:szCs w:val="24"/>
        </w:rPr>
        <w:t xml:space="preserve">                                申 请 日 期：</w:t>
      </w:r>
      <w:r>
        <w:rPr>
          <w:rFonts w:hint="eastAsia" w:ascii="新宋体" w:hAnsi="新宋体" w:eastAsia="新宋体" w:cs="新宋体"/>
          <w:color w:val="auto"/>
          <w:sz w:val="24"/>
          <w:szCs w:val="24"/>
          <w:u w:val="single"/>
        </w:rPr>
        <w:t xml:space="preserve">        </w:t>
      </w:r>
      <w:r>
        <w:rPr>
          <w:rFonts w:hint="eastAsia" w:ascii="新宋体" w:hAnsi="新宋体" w:eastAsia="新宋体" w:cs="新宋体"/>
          <w:color w:val="auto"/>
          <w:sz w:val="24"/>
          <w:szCs w:val="24"/>
        </w:rPr>
        <w:t>年</w:t>
      </w:r>
      <w:r>
        <w:rPr>
          <w:rFonts w:hint="eastAsia" w:ascii="新宋体" w:hAnsi="新宋体" w:eastAsia="新宋体" w:cs="新宋体"/>
          <w:color w:val="auto"/>
          <w:sz w:val="24"/>
          <w:szCs w:val="24"/>
          <w:u w:val="single"/>
        </w:rPr>
        <w:t xml:space="preserve">      </w:t>
      </w:r>
      <w:r>
        <w:rPr>
          <w:rFonts w:hint="eastAsia" w:ascii="新宋体" w:hAnsi="新宋体" w:eastAsia="新宋体" w:cs="新宋体"/>
          <w:color w:val="auto"/>
          <w:sz w:val="24"/>
          <w:szCs w:val="24"/>
        </w:rPr>
        <w:t>月</w:t>
      </w:r>
      <w:r>
        <w:rPr>
          <w:rFonts w:hint="eastAsia" w:ascii="新宋体" w:hAnsi="新宋体" w:eastAsia="新宋体" w:cs="新宋体"/>
          <w:color w:val="auto"/>
          <w:sz w:val="24"/>
          <w:szCs w:val="24"/>
          <w:u w:val="single"/>
        </w:rPr>
        <w:t xml:space="preserve">     </w:t>
      </w:r>
      <w:r>
        <w:rPr>
          <w:rFonts w:hint="eastAsia" w:ascii="新宋体" w:hAnsi="新宋体" w:eastAsia="新宋体" w:cs="新宋体"/>
          <w:color w:val="auto"/>
          <w:sz w:val="24"/>
          <w:szCs w:val="24"/>
        </w:rPr>
        <w:t>日</w:t>
      </w:r>
    </w:p>
    <w:p w14:paraId="2A70383B">
      <w:pPr>
        <w:pStyle w:val="3"/>
        <w:spacing w:line="240" w:lineRule="auto"/>
        <w:rPr>
          <w:rFonts w:ascii="黑体" w:hAnsi="黑体"/>
          <w:color w:val="auto"/>
        </w:rPr>
      </w:pPr>
      <w:bookmarkStart w:id="27" w:name="_Toc4580"/>
      <w:bookmarkStart w:id="28" w:name="_Toc32101"/>
      <w:bookmarkStart w:id="29" w:name="_Toc29841"/>
      <w:bookmarkStart w:id="30" w:name="_Toc12264"/>
      <w:bookmarkStart w:id="31" w:name="_Toc13094"/>
      <w:bookmarkStart w:id="32" w:name="_Toc11237"/>
      <w:bookmarkStart w:id="33" w:name="_Toc14469"/>
      <w:r>
        <w:rPr>
          <w:rFonts w:hint="eastAsia" w:ascii="黑体" w:hAnsi="黑体"/>
          <w:color w:val="auto"/>
        </w:rPr>
        <w:t>意向承租（受让）方登记表</w:t>
      </w:r>
      <w:bookmarkEnd w:id="27"/>
      <w:bookmarkEnd w:id="28"/>
      <w:bookmarkEnd w:id="29"/>
      <w:bookmarkEnd w:id="30"/>
      <w:bookmarkEnd w:id="31"/>
      <w:bookmarkEnd w:id="32"/>
      <w:bookmarkEnd w:id="33"/>
    </w:p>
    <w:tbl>
      <w:tblPr>
        <w:tblStyle w:val="12"/>
        <w:tblW w:w="9320" w:type="dxa"/>
        <w:jc w:val="center"/>
        <w:tblLayout w:type="fixed"/>
        <w:tblCellMar>
          <w:top w:w="0" w:type="dxa"/>
          <w:left w:w="0" w:type="dxa"/>
          <w:bottom w:w="0" w:type="dxa"/>
          <w:right w:w="0" w:type="dxa"/>
        </w:tblCellMar>
      </w:tblPr>
      <w:tblGrid>
        <w:gridCol w:w="1413"/>
        <w:gridCol w:w="1520"/>
        <w:gridCol w:w="1006"/>
        <w:gridCol w:w="167"/>
        <w:gridCol w:w="945"/>
        <w:gridCol w:w="240"/>
        <w:gridCol w:w="75"/>
        <w:gridCol w:w="480"/>
        <w:gridCol w:w="1140"/>
        <w:gridCol w:w="75"/>
        <w:gridCol w:w="549"/>
        <w:gridCol w:w="381"/>
        <w:gridCol w:w="1329"/>
      </w:tblGrid>
      <w:tr w14:paraId="7316A6B3">
        <w:tblPrEx>
          <w:tblCellMar>
            <w:top w:w="0" w:type="dxa"/>
            <w:left w:w="0" w:type="dxa"/>
            <w:bottom w:w="0" w:type="dxa"/>
            <w:right w:w="0" w:type="dxa"/>
          </w:tblCellMar>
        </w:tblPrEx>
        <w:trPr>
          <w:trHeight w:val="567" w:hRule="atLeast"/>
          <w:jc w:val="center"/>
        </w:trPr>
        <w:tc>
          <w:tcPr>
            <w:tcW w:w="1413" w:type="dxa"/>
            <w:tcBorders>
              <w:top w:val="single" w:color="auto" w:sz="4" w:space="0"/>
              <w:left w:val="single" w:color="auto" w:sz="4" w:space="0"/>
              <w:bottom w:val="single" w:color="auto" w:sz="4" w:space="0"/>
              <w:right w:val="single" w:color="auto" w:sz="4" w:space="0"/>
            </w:tcBorders>
            <w:vAlign w:val="center"/>
          </w:tcPr>
          <w:p w14:paraId="2DCCC8F6">
            <w:pPr>
              <w:spacing w:line="360" w:lineRule="auto"/>
              <w:jc w:val="center"/>
              <w:rPr>
                <w:rFonts w:ascii="宋体" w:hAnsi="宋体" w:eastAsia="宋体"/>
                <w:bCs/>
                <w:color w:val="auto"/>
                <w:sz w:val="22"/>
              </w:rPr>
            </w:pPr>
            <w:r>
              <w:rPr>
                <w:rFonts w:hint="eastAsia" w:ascii="宋体" w:hAnsi="宋体" w:eastAsia="宋体"/>
                <w:bCs/>
                <w:color w:val="auto"/>
                <w:sz w:val="22"/>
              </w:rPr>
              <w:t>意向</w:t>
            </w:r>
            <w:r>
              <w:rPr>
                <w:rFonts w:hint="eastAsia" w:ascii="宋体" w:hAnsi="宋体"/>
                <w:bCs/>
                <w:color w:val="auto"/>
                <w:sz w:val="22"/>
              </w:rPr>
              <w:t>承租（受让）</w:t>
            </w:r>
            <w:r>
              <w:rPr>
                <w:rFonts w:hint="eastAsia" w:ascii="宋体" w:hAnsi="宋体" w:eastAsia="宋体"/>
                <w:bCs/>
                <w:color w:val="auto"/>
                <w:sz w:val="22"/>
              </w:rPr>
              <w:t>方名称</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36690D98">
            <w:pPr>
              <w:spacing w:line="360" w:lineRule="auto"/>
              <w:jc w:val="center"/>
              <w:rPr>
                <w:color w:val="auto"/>
              </w:rPr>
            </w:pPr>
          </w:p>
        </w:tc>
      </w:tr>
      <w:tr w14:paraId="652D5BF3">
        <w:tblPrEx>
          <w:tblCellMar>
            <w:top w:w="0" w:type="dxa"/>
            <w:left w:w="0" w:type="dxa"/>
            <w:bottom w:w="0" w:type="dxa"/>
            <w:right w:w="0" w:type="dxa"/>
          </w:tblCellMar>
        </w:tblPrEx>
        <w:trPr>
          <w:trHeight w:val="567" w:hRule="atLeast"/>
          <w:jc w:val="center"/>
        </w:trPr>
        <w:tc>
          <w:tcPr>
            <w:tcW w:w="1413" w:type="dxa"/>
            <w:vMerge w:val="restart"/>
            <w:tcBorders>
              <w:top w:val="single" w:color="auto" w:sz="4" w:space="0"/>
              <w:left w:val="single" w:color="auto" w:sz="4" w:space="0"/>
              <w:right w:val="single" w:color="auto" w:sz="4" w:space="0"/>
            </w:tcBorders>
            <w:vAlign w:val="center"/>
          </w:tcPr>
          <w:p w14:paraId="0C35FD10">
            <w:pPr>
              <w:spacing w:line="360" w:lineRule="auto"/>
              <w:jc w:val="center"/>
              <w:rPr>
                <w:rFonts w:ascii="宋体" w:hAnsi="宋体" w:eastAsia="宋体"/>
                <w:bCs/>
                <w:color w:val="auto"/>
                <w:sz w:val="22"/>
              </w:rPr>
            </w:pPr>
            <w:r>
              <w:rPr>
                <w:rFonts w:hint="eastAsia" w:ascii="宋体" w:hAnsi="宋体" w:eastAsia="宋体"/>
                <w:bCs/>
                <w:color w:val="auto"/>
                <w:sz w:val="22"/>
              </w:rPr>
              <w:t>联系方式</w:t>
            </w:r>
          </w:p>
        </w:tc>
        <w:tc>
          <w:tcPr>
            <w:tcW w:w="1520" w:type="dxa"/>
            <w:tcBorders>
              <w:top w:val="single" w:color="auto" w:sz="4" w:space="0"/>
              <w:left w:val="single" w:color="auto" w:sz="4" w:space="0"/>
              <w:bottom w:val="single" w:color="auto" w:sz="4" w:space="0"/>
              <w:right w:val="single" w:color="auto" w:sz="4" w:space="0"/>
            </w:tcBorders>
            <w:vAlign w:val="center"/>
          </w:tcPr>
          <w:p w14:paraId="7EF75610">
            <w:pPr>
              <w:spacing w:line="360" w:lineRule="auto"/>
              <w:jc w:val="center"/>
              <w:rPr>
                <w:rFonts w:ascii="宋体" w:hAnsi="宋体" w:eastAsia="宋体"/>
                <w:color w:val="auto"/>
                <w:sz w:val="22"/>
              </w:rPr>
            </w:pPr>
            <w:r>
              <w:rPr>
                <w:rFonts w:hint="eastAsia" w:ascii="宋体" w:hAnsi="宋体" w:eastAsia="宋体"/>
                <w:color w:val="auto"/>
                <w:sz w:val="22"/>
              </w:rPr>
              <w:t>联系人</w:t>
            </w:r>
          </w:p>
        </w:tc>
        <w:tc>
          <w:tcPr>
            <w:tcW w:w="2358" w:type="dxa"/>
            <w:gridSpan w:val="4"/>
            <w:tcBorders>
              <w:top w:val="single" w:color="auto" w:sz="4" w:space="0"/>
              <w:left w:val="single" w:color="auto" w:sz="4" w:space="0"/>
              <w:bottom w:val="single" w:color="auto" w:sz="4" w:space="0"/>
              <w:right w:val="single" w:color="auto" w:sz="4" w:space="0"/>
            </w:tcBorders>
            <w:vAlign w:val="center"/>
          </w:tcPr>
          <w:p w14:paraId="79D73F4B">
            <w:pPr>
              <w:spacing w:line="360" w:lineRule="auto"/>
              <w:jc w:val="center"/>
              <w:rPr>
                <w:rFonts w:hint="default" w:ascii="宋体" w:hAnsi="宋体" w:eastAsia="宋体"/>
                <w:color w:val="auto"/>
                <w:sz w:val="22"/>
                <w:lang w:val="en-US" w:eastAsia="zh-CN"/>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546C691F">
            <w:pPr>
              <w:spacing w:line="360" w:lineRule="auto"/>
              <w:jc w:val="center"/>
              <w:rPr>
                <w:rFonts w:ascii="宋体" w:hAnsi="宋体" w:eastAsia="宋体"/>
                <w:color w:val="auto"/>
                <w:sz w:val="22"/>
              </w:rPr>
            </w:pPr>
            <w:r>
              <w:rPr>
                <w:rFonts w:hint="eastAsia" w:ascii="宋体" w:hAnsi="宋体" w:eastAsia="宋体"/>
                <w:color w:val="auto"/>
                <w:sz w:val="22"/>
              </w:rPr>
              <w:t>电话</w:t>
            </w:r>
          </w:p>
        </w:tc>
        <w:tc>
          <w:tcPr>
            <w:tcW w:w="2259" w:type="dxa"/>
            <w:gridSpan w:val="3"/>
            <w:tcBorders>
              <w:top w:val="single" w:color="auto" w:sz="4" w:space="0"/>
              <w:left w:val="single" w:color="auto" w:sz="4" w:space="0"/>
              <w:bottom w:val="single" w:color="auto" w:sz="4" w:space="0"/>
              <w:right w:val="single" w:color="auto" w:sz="4" w:space="0"/>
            </w:tcBorders>
            <w:vAlign w:val="center"/>
          </w:tcPr>
          <w:p w14:paraId="26189662">
            <w:pPr>
              <w:spacing w:line="360" w:lineRule="auto"/>
              <w:jc w:val="center"/>
              <w:rPr>
                <w:rFonts w:hint="default" w:ascii="宋体" w:hAnsi="宋体" w:eastAsia="宋体"/>
                <w:color w:val="auto"/>
                <w:sz w:val="22"/>
                <w:lang w:val="en-US" w:eastAsia="zh-CN"/>
              </w:rPr>
            </w:pPr>
          </w:p>
        </w:tc>
      </w:tr>
      <w:tr w14:paraId="289B47D8">
        <w:tblPrEx>
          <w:tblCellMar>
            <w:top w:w="0" w:type="dxa"/>
            <w:left w:w="0" w:type="dxa"/>
            <w:bottom w:w="0" w:type="dxa"/>
            <w:right w:w="0" w:type="dxa"/>
          </w:tblCellMar>
        </w:tblPrEx>
        <w:trPr>
          <w:trHeight w:val="567" w:hRule="atLeast"/>
          <w:jc w:val="center"/>
        </w:trPr>
        <w:tc>
          <w:tcPr>
            <w:tcW w:w="1413" w:type="dxa"/>
            <w:vMerge w:val="continue"/>
            <w:tcBorders>
              <w:left w:val="single" w:color="auto" w:sz="4" w:space="0"/>
              <w:bottom w:val="single" w:color="auto" w:sz="4" w:space="0"/>
              <w:right w:val="single" w:color="auto" w:sz="4" w:space="0"/>
            </w:tcBorders>
            <w:vAlign w:val="center"/>
          </w:tcPr>
          <w:p w14:paraId="14DD1777">
            <w:pPr>
              <w:spacing w:line="360" w:lineRule="auto"/>
              <w:rPr>
                <w:rFonts w:ascii="宋体" w:hAnsi="宋体" w:eastAsia="宋体"/>
                <w:b/>
                <w:bCs/>
                <w:color w:val="auto"/>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11834FB4">
            <w:pPr>
              <w:spacing w:line="360" w:lineRule="auto"/>
              <w:jc w:val="center"/>
              <w:rPr>
                <w:rFonts w:ascii="宋体" w:hAnsi="宋体" w:eastAsia="宋体"/>
                <w:color w:val="auto"/>
                <w:sz w:val="22"/>
              </w:rPr>
            </w:pPr>
            <w:r>
              <w:rPr>
                <w:rFonts w:hint="eastAsia" w:ascii="宋体" w:hAnsi="宋体" w:eastAsia="宋体"/>
                <w:color w:val="auto"/>
                <w:sz w:val="22"/>
              </w:rPr>
              <w:t>传真</w:t>
            </w:r>
          </w:p>
        </w:tc>
        <w:tc>
          <w:tcPr>
            <w:tcW w:w="2358" w:type="dxa"/>
            <w:gridSpan w:val="4"/>
            <w:tcBorders>
              <w:top w:val="single" w:color="auto" w:sz="4" w:space="0"/>
              <w:left w:val="single" w:color="auto" w:sz="4" w:space="0"/>
              <w:bottom w:val="single" w:color="auto" w:sz="4" w:space="0"/>
              <w:right w:val="single" w:color="auto" w:sz="4" w:space="0"/>
            </w:tcBorders>
            <w:vAlign w:val="center"/>
          </w:tcPr>
          <w:p w14:paraId="1CEC9E0A">
            <w:pPr>
              <w:spacing w:line="360" w:lineRule="auto"/>
              <w:rPr>
                <w:rFonts w:ascii="宋体" w:hAnsi="宋体" w:eastAsia="宋体"/>
                <w:color w:val="auto"/>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049F402A">
            <w:pPr>
              <w:spacing w:line="360" w:lineRule="auto"/>
              <w:jc w:val="center"/>
              <w:rPr>
                <w:rFonts w:ascii="宋体" w:hAnsi="宋体" w:eastAsia="宋体"/>
                <w:color w:val="auto"/>
                <w:sz w:val="22"/>
              </w:rPr>
            </w:pPr>
            <w:r>
              <w:rPr>
                <w:rFonts w:hint="eastAsia" w:ascii="宋体" w:hAnsi="宋体" w:eastAsia="宋体"/>
                <w:color w:val="auto"/>
                <w:sz w:val="22"/>
              </w:rPr>
              <w:t>电子邮件</w:t>
            </w:r>
          </w:p>
        </w:tc>
        <w:tc>
          <w:tcPr>
            <w:tcW w:w="2259" w:type="dxa"/>
            <w:gridSpan w:val="3"/>
            <w:tcBorders>
              <w:top w:val="single" w:color="auto" w:sz="4" w:space="0"/>
              <w:left w:val="single" w:color="auto" w:sz="4" w:space="0"/>
              <w:bottom w:val="single" w:color="auto" w:sz="4" w:space="0"/>
              <w:right w:val="single" w:color="auto" w:sz="4" w:space="0"/>
            </w:tcBorders>
            <w:vAlign w:val="center"/>
          </w:tcPr>
          <w:p w14:paraId="7BDC6F69">
            <w:pPr>
              <w:spacing w:line="360" w:lineRule="auto"/>
              <w:rPr>
                <w:rFonts w:ascii="宋体" w:hAnsi="宋体" w:eastAsia="宋体"/>
                <w:color w:val="auto"/>
                <w:sz w:val="22"/>
              </w:rPr>
            </w:pPr>
          </w:p>
        </w:tc>
      </w:tr>
      <w:tr w14:paraId="2CFED69D">
        <w:tblPrEx>
          <w:tblCellMar>
            <w:top w:w="0" w:type="dxa"/>
            <w:left w:w="0" w:type="dxa"/>
            <w:bottom w:w="0" w:type="dxa"/>
            <w:right w:w="0" w:type="dxa"/>
          </w:tblCellMar>
        </w:tblPrEx>
        <w:trPr>
          <w:cantSplit/>
          <w:trHeight w:val="567" w:hRule="atLeast"/>
          <w:jc w:val="center"/>
        </w:trPr>
        <w:tc>
          <w:tcPr>
            <w:tcW w:w="1413" w:type="dxa"/>
            <w:vMerge w:val="restart"/>
            <w:tcBorders>
              <w:top w:val="single" w:color="auto" w:sz="4" w:space="0"/>
              <w:left w:val="single" w:color="auto" w:sz="4" w:space="0"/>
              <w:bottom w:val="single" w:color="auto" w:sz="4" w:space="0"/>
              <w:right w:val="single" w:color="auto" w:sz="4" w:space="0"/>
            </w:tcBorders>
            <w:vAlign w:val="center"/>
          </w:tcPr>
          <w:p w14:paraId="41C3427E">
            <w:pPr>
              <w:spacing w:line="360" w:lineRule="auto"/>
              <w:jc w:val="center"/>
              <w:rPr>
                <w:rFonts w:ascii="宋体" w:hAnsi="宋体" w:eastAsia="宋体"/>
                <w:bCs/>
                <w:color w:val="auto"/>
                <w:sz w:val="22"/>
              </w:rPr>
            </w:pPr>
            <w:r>
              <w:rPr>
                <w:rFonts w:hint="eastAsia" w:ascii="宋体" w:hAnsi="宋体" w:eastAsia="宋体"/>
                <w:bCs/>
                <w:color w:val="auto"/>
                <w:sz w:val="22"/>
              </w:rPr>
              <w:t>基本情况</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468190CB">
            <w:pPr>
              <w:spacing w:line="360" w:lineRule="auto"/>
              <w:jc w:val="center"/>
              <w:rPr>
                <w:rFonts w:ascii="宋体" w:hAnsi="宋体" w:eastAsia="宋体"/>
                <w:color w:val="auto"/>
                <w:sz w:val="22"/>
              </w:rPr>
            </w:pPr>
            <w:r>
              <w:rPr>
                <w:rFonts w:hint="eastAsia" w:ascii="宋体" w:hAnsi="宋体" w:eastAsia="宋体"/>
                <w:bCs/>
                <w:color w:val="auto"/>
                <w:sz w:val="22"/>
              </w:rPr>
              <w:t>法</w:t>
            </w:r>
            <w:r>
              <w:rPr>
                <w:rFonts w:ascii="宋体" w:hAnsi="宋体" w:eastAsia="宋体"/>
                <w:bCs/>
                <w:color w:val="auto"/>
                <w:sz w:val="22"/>
              </w:rPr>
              <w:t xml:space="preserve">  </w:t>
            </w:r>
            <w:r>
              <w:rPr>
                <w:rFonts w:hint="eastAsia" w:ascii="宋体" w:hAnsi="宋体" w:eastAsia="宋体"/>
                <w:bCs/>
                <w:color w:val="auto"/>
                <w:sz w:val="22"/>
              </w:rPr>
              <w:t>人</w:t>
            </w:r>
          </w:p>
        </w:tc>
      </w:tr>
      <w:tr w14:paraId="33753A1C">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0161F64A">
            <w:pPr>
              <w:spacing w:line="360" w:lineRule="auto"/>
              <w:rPr>
                <w:rFonts w:ascii="宋体" w:hAnsi="宋体" w:eastAsia="宋体"/>
                <w:b/>
                <w:bCs/>
                <w:color w:val="auto"/>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222AE0F9">
            <w:pPr>
              <w:spacing w:line="360" w:lineRule="auto"/>
              <w:jc w:val="center"/>
              <w:rPr>
                <w:rFonts w:ascii="宋体" w:hAnsi="宋体" w:eastAsia="宋体"/>
                <w:color w:val="auto"/>
                <w:sz w:val="22"/>
              </w:rPr>
            </w:pPr>
            <w:r>
              <w:rPr>
                <w:rFonts w:hint="eastAsia" w:ascii="宋体" w:hAnsi="宋体" w:eastAsia="宋体"/>
                <w:color w:val="auto"/>
                <w:sz w:val="22"/>
              </w:rPr>
              <w:t>详细地址</w:t>
            </w:r>
          </w:p>
        </w:tc>
        <w:tc>
          <w:tcPr>
            <w:tcW w:w="6387" w:type="dxa"/>
            <w:gridSpan w:val="11"/>
            <w:tcBorders>
              <w:top w:val="single" w:color="auto" w:sz="4" w:space="0"/>
              <w:left w:val="single" w:color="auto" w:sz="4" w:space="0"/>
              <w:bottom w:val="single" w:color="auto" w:sz="4" w:space="0"/>
              <w:right w:val="single" w:color="auto" w:sz="4" w:space="0"/>
            </w:tcBorders>
            <w:vAlign w:val="bottom"/>
          </w:tcPr>
          <w:p w14:paraId="4DD3FB56">
            <w:pPr>
              <w:spacing w:line="360" w:lineRule="auto"/>
              <w:rPr>
                <w:rFonts w:hint="default" w:ascii="宋体" w:hAnsi="宋体" w:eastAsia="宋体"/>
                <w:color w:val="auto"/>
                <w:sz w:val="22"/>
                <w:lang w:val="en-US" w:eastAsia="zh-CN"/>
              </w:rPr>
            </w:pPr>
          </w:p>
        </w:tc>
      </w:tr>
      <w:tr w14:paraId="64E76AE1">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6281EE01">
            <w:pPr>
              <w:spacing w:line="360" w:lineRule="auto"/>
              <w:rPr>
                <w:rFonts w:ascii="宋体" w:hAnsi="宋体" w:eastAsia="宋体"/>
                <w:b/>
                <w:bCs/>
                <w:color w:val="auto"/>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1CF9A8C0">
            <w:pPr>
              <w:spacing w:line="360" w:lineRule="auto"/>
              <w:jc w:val="center"/>
              <w:rPr>
                <w:rFonts w:ascii="宋体" w:hAnsi="宋体" w:eastAsia="宋体"/>
                <w:color w:val="auto"/>
                <w:sz w:val="22"/>
              </w:rPr>
            </w:pPr>
            <w:r>
              <w:rPr>
                <w:rFonts w:hint="eastAsia" w:ascii="宋体" w:hAnsi="宋体" w:eastAsia="宋体"/>
                <w:color w:val="auto"/>
                <w:sz w:val="22"/>
              </w:rPr>
              <w:t>成立时间</w:t>
            </w:r>
          </w:p>
        </w:tc>
        <w:tc>
          <w:tcPr>
            <w:tcW w:w="2358" w:type="dxa"/>
            <w:gridSpan w:val="4"/>
            <w:tcBorders>
              <w:top w:val="single" w:color="auto" w:sz="4" w:space="0"/>
              <w:left w:val="single" w:color="auto" w:sz="4" w:space="0"/>
              <w:bottom w:val="single" w:color="auto" w:sz="4" w:space="0"/>
              <w:right w:val="single" w:color="auto" w:sz="4" w:space="0"/>
            </w:tcBorders>
            <w:vAlign w:val="bottom"/>
          </w:tcPr>
          <w:p w14:paraId="0D85C13B">
            <w:pPr>
              <w:spacing w:line="360" w:lineRule="auto"/>
              <w:rPr>
                <w:rFonts w:hint="default" w:ascii="宋体" w:hAnsi="宋体" w:eastAsia="宋体"/>
                <w:color w:val="auto"/>
                <w:sz w:val="22"/>
                <w:lang w:val="en-US" w:eastAsia="zh-CN"/>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6FD02821">
            <w:pPr>
              <w:spacing w:line="360" w:lineRule="auto"/>
              <w:jc w:val="center"/>
              <w:rPr>
                <w:rFonts w:ascii="宋体" w:hAnsi="宋体" w:eastAsia="宋体"/>
                <w:color w:val="auto"/>
                <w:sz w:val="22"/>
              </w:rPr>
            </w:pPr>
            <w:r>
              <w:rPr>
                <w:rFonts w:hint="eastAsia" w:ascii="宋体" w:hAnsi="宋体" w:eastAsia="宋体"/>
                <w:color w:val="auto"/>
                <w:sz w:val="22"/>
              </w:rPr>
              <w:t>注册资本</w:t>
            </w:r>
            <w:r>
              <w:rPr>
                <w:rFonts w:ascii="宋体" w:hAnsi="宋体" w:eastAsia="宋体"/>
                <w:color w:val="auto"/>
                <w:sz w:val="22"/>
              </w:rPr>
              <w:t>(</w:t>
            </w:r>
            <w:r>
              <w:rPr>
                <w:rFonts w:hint="eastAsia" w:ascii="宋体" w:hAnsi="宋体" w:eastAsia="宋体"/>
                <w:color w:val="auto"/>
                <w:sz w:val="22"/>
              </w:rPr>
              <w:t>万元</w:t>
            </w:r>
            <w:r>
              <w:rPr>
                <w:rFonts w:ascii="宋体" w:hAnsi="宋体" w:eastAsia="宋体"/>
                <w:color w:val="auto"/>
                <w:sz w:val="22"/>
              </w:rPr>
              <w:t>)</w:t>
            </w:r>
          </w:p>
        </w:tc>
        <w:tc>
          <w:tcPr>
            <w:tcW w:w="2259" w:type="dxa"/>
            <w:gridSpan w:val="3"/>
            <w:tcBorders>
              <w:top w:val="single" w:color="auto" w:sz="4" w:space="0"/>
              <w:left w:val="single" w:color="auto" w:sz="4" w:space="0"/>
              <w:bottom w:val="single" w:color="auto" w:sz="4" w:space="0"/>
              <w:right w:val="single" w:color="auto" w:sz="4" w:space="0"/>
            </w:tcBorders>
            <w:vAlign w:val="bottom"/>
          </w:tcPr>
          <w:p w14:paraId="1CBCB415">
            <w:pPr>
              <w:spacing w:line="360" w:lineRule="auto"/>
              <w:rPr>
                <w:rFonts w:hint="default" w:ascii="宋体" w:hAnsi="宋体" w:eastAsia="宋体"/>
                <w:color w:val="auto"/>
                <w:sz w:val="22"/>
                <w:lang w:val="en-US" w:eastAsia="zh-CN"/>
              </w:rPr>
            </w:pPr>
          </w:p>
        </w:tc>
      </w:tr>
      <w:tr w14:paraId="101BB314">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74364EA2">
            <w:pPr>
              <w:spacing w:line="360" w:lineRule="auto"/>
              <w:rPr>
                <w:rFonts w:ascii="宋体" w:hAnsi="宋体" w:eastAsia="宋体"/>
                <w:b/>
                <w:bCs/>
                <w:color w:val="auto"/>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5D8A55CC">
            <w:pPr>
              <w:spacing w:line="360" w:lineRule="auto"/>
              <w:jc w:val="center"/>
              <w:rPr>
                <w:rFonts w:ascii="宋体" w:hAnsi="宋体" w:eastAsia="宋体"/>
                <w:color w:val="auto"/>
                <w:sz w:val="22"/>
              </w:rPr>
            </w:pPr>
            <w:r>
              <w:rPr>
                <w:rFonts w:hint="eastAsia" w:ascii="宋体" w:hAnsi="宋体" w:eastAsia="宋体"/>
                <w:color w:val="auto"/>
                <w:sz w:val="22"/>
              </w:rPr>
              <w:t>经济类型</w:t>
            </w:r>
          </w:p>
        </w:tc>
        <w:tc>
          <w:tcPr>
            <w:tcW w:w="2358" w:type="dxa"/>
            <w:gridSpan w:val="4"/>
            <w:tcBorders>
              <w:top w:val="single" w:color="auto" w:sz="4" w:space="0"/>
              <w:left w:val="single" w:color="auto" w:sz="4" w:space="0"/>
              <w:bottom w:val="single" w:color="auto" w:sz="4" w:space="0"/>
              <w:right w:val="single" w:color="auto" w:sz="4" w:space="0"/>
            </w:tcBorders>
            <w:vAlign w:val="bottom"/>
          </w:tcPr>
          <w:p w14:paraId="5E54F35D">
            <w:pPr>
              <w:spacing w:line="360" w:lineRule="auto"/>
              <w:rPr>
                <w:rFonts w:hint="default" w:ascii="宋体" w:hAnsi="宋体" w:eastAsia="宋体"/>
                <w:color w:val="auto"/>
                <w:sz w:val="22"/>
                <w:lang w:val="en-US" w:eastAsia="zh-CN"/>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73159389">
            <w:pPr>
              <w:spacing w:line="360" w:lineRule="auto"/>
              <w:jc w:val="center"/>
              <w:rPr>
                <w:rFonts w:ascii="宋体" w:hAnsi="宋体" w:eastAsia="宋体"/>
                <w:color w:val="auto"/>
                <w:sz w:val="22"/>
              </w:rPr>
            </w:pPr>
            <w:r>
              <w:rPr>
                <w:rFonts w:hint="eastAsia" w:ascii="宋体" w:hAnsi="宋体" w:eastAsia="宋体"/>
                <w:color w:val="auto"/>
                <w:sz w:val="22"/>
              </w:rPr>
              <w:t>法定代表人</w:t>
            </w:r>
          </w:p>
        </w:tc>
        <w:tc>
          <w:tcPr>
            <w:tcW w:w="2259" w:type="dxa"/>
            <w:gridSpan w:val="3"/>
            <w:tcBorders>
              <w:top w:val="single" w:color="auto" w:sz="4" w:space="0"/>
              <w:left w:val="single" w:color="auto" w:sz="4" w:space="0"/>
              <w:bottom w:val="single" w:color="auto" w:sz="4" w:space="0"/>
              <w:right w:val="single" w:color="auto" w:sz="4" w:space="0"/>
            </w:tcBorders>
            <w:vAlign w:val="center"/>
          </w:tcPr>
          <w:p w14:paraId="042CC675">
            <w:pPr>
              <w:spacing w:line="360" w:lineRule="auto"/>
              <w:jc w:val="center"/>
              <w:rPr>
                <w:rFonts w:hint="default" w:ascii="宋体" w:hAnsi="宋体" w:eastAsia="宋体"/>
                <w:color w:val="auto"/>
                <w:sz w:val="22"/>
                <w:lang w:val="en-US" w:eastAsia="zh-CN"/>
              </w:rPr>
            </w:pPr>
          </w:p>
        </w:tc>
      </w:tr>
      <w:tr w14:paraId="762B49BE">
        <w:tblPrEx>
          <w:tblCellMar>
            <w:top w:w="0" w:type="dxa"/>
            <w:left w:w="0" w:type="dxa"/>
            <w:bottom w:w="0" w:type="dxa"/>
            <w:right w:w="0" w:type="dxa"/>
          </w:tblCellMar>
        </w:tblPrEx>
        <w:trPr>
          <w:cantSplit/>
          <w:trHeight w:val="2280"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630EBA0B">
            <w:pPr>
              <w:spacing w:line="360" w:lineRule="auto"/>
              <w:rPr>
                <w:rFonts w:ascii="宋体" w:hAnsi="宋体" w:eastAsia="宋体"/>
                <w:color w:val="auto"/>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23E611B5">
            <w:pPr>
              <w:spacing w:line="360" w:lineRule="auto"/>
              <w:jc w:val="center"/>
              <w:rPr>
                <w:rFonts w:ascii="宋体" w:hAnsi="宋体" w:eastAsia="宋体"/>
                <w:color w:val="auto"/>
                <w:sz w:val="22"/>
              </w:rPr>
            </w:pPr>
            <w:r>
              <w:rPr>
                <w:rFonts w:hint="eastAsia" w:ascii="宋体" w:hAnsi="宋体" w:eastAsia="宋体"/>
                <w:color w:val="auto"/>
                <w:sz w:val="22"/>
              </w:rPr>
              <w:t>所属行业</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6B8862B7">
            <w:pPr>
              <w:spacing w:line="360" w:lineRule="auto"/>
              <w:rPr>
                <w:rFonts w:ascii="宋体" w:hAnsi="宋体" w:eastAsia="宋体"/>
                <w:color w:val="auto"/>
                <w:sz w:val="22"/>
              </w:rPr>
            </w:pPr>
            <w:r>
              <w:rPr>
                <w:rFonts w:ascii="宋体" w:hAnsi="宋体" w:eastAsia="宋体"/>
                <w:color w:val="auto"/>
                <w:sz w:val="22"/>
              </w:rPr>
              <w:t>□</w:t>
            </w:r>
            <w:r>
              <w:rPr>
                <w:rFonts w:hint="eastAsia" w:ascii="宋体" w:hAnsi="宋体" w:eastAsia="宋体"/>
                <w:color w:val="auto"/>
                <w:sz w:val="22"/>
              </w:rPr>
              <w:t>工业</w:t>
            </w:r>
            <w:r>
              <w:rPr>
                <w:rFonts w:ascii="宋体" w:hAnsi="宋体" w:eastAsia="宋体"/>
                <w:color w:val="auto"/>
                <w:sz w:val="22"/>
              </w:rPr>
              <w:t xml:space="preserve">  □</w:t>
            </w:r>
            <w:r>
              <w:rPr>
                <w:rFonts w:hint="eastAsia" w:ascii="宋体" w:hAnsi="宋体" w:eastAsia="宋体"/>
                <w:color w:val="auto"/>
                <w:sz w:val="22"/>
              </w:rPr>
              <w:t>建筑业</w:t>
            </w:r>
            <w:r>
              <w:rPr>
                <w:rFonts w:ascii="宋体" w:hAnsi="宋体" w:eastAsia="宋体"/>
                <w:color w:val="auto"/>
                <w:sz w:val="22"/>
              </w:rPr>
              <w:t xml:space="preserve">  □</w:t>
            </w:r>
            <w:r>
              <w:rPr>
                <w:rFonts w:hint="eastAsia" w:ascii="宋体" w:hAnsi="宋体" w:eastAsia="宋体"/>
                <w:color w:val="auto"/>
                <w:sz w:val="22"/>
              </w:rPr>
              <w:t>交通运输业</w:t>
            </w:r>
            <w:r>
              <w:rPr>
                <w:rFonts w:ascii="宋体" w:hAnsi="宋体" w:eastAsia="宋体"/>
                <w:color w:val="auto"/>
                <w:sz w:val="22"/>
              </w:rPr>
              <w:t xml:space="preserve">   □</w:t>
            </w:r>
            <w:r>
              <w:rPr>
                <w:rFonts w:hint="eastAsia" w:ascii="宋体" w:hAnsi="宋体" w:eastAsia="宋体"/>
                <w:color w:val="auto"/>
                <w:sz w:val="22"/>
              </w:rPr>
              <w:t>通信业</w:t>
            </w:r>
            <w:r>
              <w:rPr>
                <w:rFonts w:ascii="宋体" w:hAnsi="宋体" w:eastAsia="宋体"/>
                <w:color w:val="auto"/>
                <w:sz w:val="22"/>
              </w:rPr>
              <w:t xml:space="preserve">  □</w:t>
            </w:r>
            <w:r>
              <w:rPr>
                <w:rFonts w:hint="eastAsia" w:ascii="宋体" w:hAnsi="宋体" w:eastAsia="宋体"/>
                <w:color w:val="auto"/>
                <w:sz w:val="22"/>
              </w:rPr>
              <w:t>贸易业</w:t>
            </w:r>
            <w:r>
              <w:rPr>
                <w:rFonts w:ascii="宋体" w:hAnsi="宋体" w:eastAsia="宋体"/>
                <w:color w:val="auto"/>
                <w:sz w:val="22"/>
              </w:rPr>
              <w:t xml:space="preserve">  </w:t>
            </w:r>
          </w:p>
          <w:p w14:paraId="7ECCAEBB">
            <w:pPr>
              <w:spacing w:line="360" w:lineRule="auto"/>
              <w:rPr>
                <w:rFonts w:ascii="宋体" w:hAnsi="宋体" w:eastAsia="宋体"/>
                <w:color w:val="auto"/>
                <w:sz w:val="22"/>
              </w:rPr>
            </w:pPr>
            <w:r>
              <w:rPr>
                <w:rFonts w:ascii="宋体" w:hAnsi="宋体" w:eastAsia="宋体"/>
                <w:color w:val="auto"/>
                <w:sz w:val="22"/>
              </w:rPr>
              <w:t>□</w:t>
            </w:r>
            <w:r>
              <w:rPr>
                <w:rFonts w:hint="eastAsia" w:ascii="宋体" w:hAnsi="宋体" w:eastAsia="宋体"/>
                <w:color w:val="auto"/>
                <w:sz w:val="22"/>
              </w:rPr>
              <w:t>地质勘探及水利业</w:t>
            </w:r>
            <w:r>
              <w:rPr>
                <w:rFonts w:ascii="宋体" w:hAnsi="宋体" w:eastAsia="宋体"/>
                <w:color w:val="auto"/>
                <w:sz w:val="22"/>
              </w:rPr>
              <w:t xml:space="preserve">  □</w:t>
            </w:r>
            <w:r>
              <w:rPr>
                <w:rFonts w:hint="eastAsia" w:ascii="宋体" w:hAnsi="宋体" w:eastAsia="宋体"/>
                <w:color w:val="auto"/>
                <w:sz w:val="22"/>
              </w:rPr>
              <w:t>住宿餐饮及旅游业</w:t>
            </w:r>
            <w:r>
              <w:rPr>
                <w:rFonts w:ascii="宋体" w:hAnsi="宋体" w:eastAsia="宋体"/>
                <w:color w:val="auto"/>
                <w:sz w:val="22"/>
              </w:rPr>
              <w:t xml:space="preserve">  </w:t>
            </w:r>
            <w:r>
              <w:rPr>
                <w:rFonts w:hint="eastAsia" w:ascii="宋体" w:hAnsi="宋体" w:eastAsia="宋体"/>
                <w:color w:val="auto"/>
                <w:sz w:val="22"/>
                <w:lang w:eastAsia="zh-CN"/>
              </w:rPr>
              <w:t>□</w:t>
            </w:r>
            <w:r>
              <w:rPr>
                <w:rFonts w:hint="eastAsia" w:ascii="宋体" w:hAnsi="宋体" w:eastAsia="宋体"/>
                <w:color w:val="auto"/>
                <w:sz w:val="22"/>
              </w:rPr>
              <w:t>房地产</w:t>
            </w:r>
            <w:r>
              <w:rPr>
                <w:rFonts w:ascii="宋体" w:hAnsi="宋体" w:eastAsia="宋体"/>
                <w:color w:val="auto"/>
                <w:sz w:val="22"/>
              </w:rPr>
              <w:t xml:space="preserve">  □</w:t>
            </w:r>
            <w:r>
              <w:rPr>
                <w:rFonts w:hint="eastAsia" w:ascii="宋体" w:hAnsi="宋体" w:eastAsia="宋体"/>
                <w:color w:val="auto"/>
                <w:sz w:val="22"/>
              </w:rPr>
              <w:t>金融业</w:t>
            </w:r>
          </w:p>
          <w:p w14:paraId="2B605060">
            <w:pPr>
              <w:spacing w:line="360" w:lineRule="auto"/>
              <w:rPr>
                <w:rFonts w:ascii="宋体" w:hAnsi="宋体" w:eastAsia="宋体"/>
                <w:color w:val="auto"/>
                <w:sz w:val="22"/>
              </w:rPr>
            </w:pPr>
            <w:r>
              <w:rPr>
                <w:rFonts w:ascii="宋体" w:hAnsi="宋体" w:eastAsia="宋体"/>
                <w:color w:val="auto"/>
                <w:sz w:val="22"/>
              </w:rPr>
              <w:t>□</w:t>
            </w:r>
            <w:r>
              <w:rPr>
                <w:rFonts w:hint="eastAsia" w:ascii="宋体" w:hAnsi="宋体" w:eastAsia="宋体"/>
                <w:color w:val="auto"/>
                <w:sz w:val="22"/>
              </w:rPr>
              <w:t>仓储业</w:t>
            </w:r>
            <w:r>
              <w:rPr>
                <w:rFonts w:ascii="宋体" w:hAnsi="宋体" w:eastAsia="宋体"/>
                <w:color w:val="auto"/>
                <w:sz w:val="22"/>
              </w:rPr>
              <w:t xml:space="preserve">  □</w:t>
            </w:r>
            <w:r>
              <w:rPr>
                <w:rFonts w:hint="eastAsia" w:ascii="宋体" w:hAnsi="宋体" w:eastAsia="宋体"/>
                <w:color w:val="auto"/>
                <w:sz w:val="22"/>
              </w:rPr>
              <w:t>信息技术服务业</w:t>
            </w:r>
            <w:r>
              <w:rPr>
                <w:rFonts w:ascii="宋体" w:hAnsi="宋体" w:eastAsia="宋体"/>
                <w:color w:val="auto"/>
                <w:sz w:val="22"/>
              </w:rPr>
              <w:t xml:space="preserve">  □</w:t>
            </w:r>
            <w:r>
              <w:rPr>
                <w:rFonts w:hint="eastAsia" w:ascii="宋体" w:hAnsi="宋体" w:eastAsia="宋体"/>
                <w:color w:val="auto"/>
                <w:sz w:val="22"/>
              </w:rPr>
              <w:t>农林牧渔业</w:t>
            </w:r>
            <w:r>
              <w:rPr>
                <w:rFonts w:ascii="宋体" w:hAnsi="宋体" w:eastAsia="宋体"/>
                <w:color w:val="auto"/>
                <w:sz w:val="22"/>
              </w:rPr>
              <w:t xml:space="preserve">  □</w:t>
            </w:r>
            <w:r>
              <w:rPr>
                <w:rFonts w:hint="eastAsia" w:ascii="宋体" w:hAnsi="宋体" w:eastAsia="宋体"/>
                <w:color w:val="auto"/>
                <w:sz w:val="22"/>
              </w:rPr>
              <w:t>社会服务业</w:t>
            </w:r>
          </w:p>
          <w:p w14:paraId="28879D36">
            <w:pPr>
              <w:spacing w:line="360" w:lineRule="auto"/>
              <w:rPr>
                <w:rFonts w:ascii="宋体" w:hAnsi="宋体" w:eastAsia="宋体"/>
                <w:color w:val="auto"/>
                <w:sz w:val="22"/>
              </w:rPr>
            </w:pPr>
            <w:r>
              <w:rPr>
                <w:rFonts w:ascii="宋体" w:hAnsi="宋体" w:eastAsia="宋体"/>
                <w:color w:val="auto"/>
                <w:sz w:val="22"/>
              </w:rPr>
              <w:t>□</w:t>
            </w:r>
            <w:r>
              <w:rPr>
                <w:rFonts w:hint="eastAsia" w:ascii="宋体" w:hAnsi="宋体" w:eastAsia="宋体"/>
                <w:color w:val="auto"/>
                <w:sz w:val="22"/>
              </w:rPr>
              <w:t>科研及技术服务业</w:t>
            </w:r>
            <w:r>
              <w:rPr>
                <w:rFonts w:ascii="宋体" w:hAnsi="宋体" w:eastAsia="宋体"/>
                <w:color w:val="auto"/>
                <w:sz w:val="22"/>
              </w:rPr>
              <w:t xml:space="preserve">  □</w:t>
            </w:r>
            <w:r>
              <w:rPr>
                <w:rFonts w:hint="eastAsia" w:ascii="宋体" w:hAnsi="宋体" w:eastAsia="宋体"/>
                <w:color w:val="auto"/>
                <w:sz w:val="22"/>
              </w:rPr>
              <w:t>教育文化广播业</w:t>
            </w:r>
          </w:p>
          <w:p w14:paraId="3771803E">
            <w:pPr>
              <w:spacing w:line="360" w:lineRule="auto"/>
              <w:rPr>
                <w:rFonts w:ascii="宋体" w:hAnsi="宋体" w:eastAsia="宋体"/>
                <w:color w:val="auto"/>
                <w:sz w:val="22"/>
              </w:rPr>
            </w:pPr>
            <w:r>
              <w:rPr>
                <w:rFonts w:ascii="宋体" w:hAnsi="宋体" w:eastAsia="宋体"/>
                <w:color w:val="auto"/>
                <w:sz w:val="22"/>
              </w:rPr>
              <w:t>□</w:t>
            </w:r>
            <w:r>
              <w:rPr>
                <w:rFonts w:hint="eastAsia" w:ascii="宋体" w:hAnsi="宋体" w:eastAsia="宋体"/>
                <w:color w:val="auto"/>
                <w:sz w:val="22"/>
              </w:rPr>
              <w:t>其他行业：</w:t>
            </w:r>
            <w:r>
              <w:rPr>
                <w:rFonts w:ascii="宋体" w:hAnsi="宋体" w:eastAsia="宋体"/>
                <w:color w:val="auto"/>
                <w:sz w:val="22"/>
                <w:u w:val="single"/>
              </w:rPr>
              <w:t xml:space="preserve">       </w:t>
            </w:r>
          </w:p>
        </w:tc>
      </w:tr>
      <w:tr w14:paraId="13ABEF9A">
        <w:tblPrEx>
          <w:tblCellMar>
            <w:top w:w="0" w:type="dxa"/>
            <w:left w:w="0" w:type="dxa"/>
            <w:bottom w:w="0" w:type="dxa"/>
            <w:right w:w="0" w:type="dxa"/>
          </w:tblCellMar>
        </w:tblPrEx>
        <w:trPr>
          <w:cantSplit/>
          <w:trHeight w:val="1995"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77640945">
            <w:pPr>
              <w:spacing w:line="360" w:lineRule="auto"/>
              <w:rPr>
                <w:rFonts w:ascii="宋体" w:hAnsi="宋体" w:eastAsia="宋体"/>
                <w:color w:val="auto"/>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6186BE9E">
            <w:pPr>
              <w:spacing w:line="360" w:lineRule="auto"/>
              <w:jc w:val="center"/>
              <w:rPr>
                <w:rFonts w:ascii="宋体" w:hAnsi="宋体" w:eastAsia="宋体"/>
                <w:color w:val="auto"/>
                <w:sz w:val="22"/>
              </w:rPr>
            </w:pPr>
            <w:r>
              <w:rPr>
                <w:rFonts w:hint="eastAsia" w:ascii="宋体" w:hAnsi="宋体" w:eastAsia="宋体"/>
                <w:color w:val="auto"/>
                <w:sz w:val="22"/>
              </w:rPr>
              <w:t>企业类别</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2C3D5D04">
            <w:pPr>
              <w:spacing w:line="360" w:lineRule="auto"/>
              <w:rPr>
                <w:rFonts w:ascii="宋体" w:hAnsi="宋体" w:eastAsia="宋体"/>
                <w:color w:val="auto"/>
                <w:sz w:val="22"/>
              </w:rPr>
            </w:pPr>
            <w:r>
              <w:rPr>
                <w:rFonts w:hint="eastAsia" w:ascii="宋体" w:hAnsi="宋体" w:eastAsia="宋体"/>
                <w:color w:val="auto"/>
                <w:sz w:val="22"/>
                <w:lang w:eastAsia="zh-CN"/>
              </w:rPr>
              <w:t>□</w:t>
            </w:r>
            <w:r>
              <w:rPr>
                <w:rFonts w:hint="eastAsia" w:ascii="宋体" w:hAnsi="宋体" w:eastAsia="宋体"/>
                <w:color w:val="auto"/>
                <w:sz w:val="22"/>
              </w:rPr>
              <w:t>国有独资公司（企业）</w:t>
            </w:r>
            <w:r>
              <w:rPr>
                <w:rFonts w:ascii="宋体" w:hAnsi="宋体" w:eastAsia="宋体"/>
                <w:color w:val="auto"/>
                <w:sz w:val="22"/>
              </w:rPr>
              <w:t xml:space="preserve"> □</w:t>
            </w:r>
            <w:r>
              <w:rPr>
                <w:rFonts w:hint="eastAsia" w:ascii="宋体" w:hAnsi="宋体" w:eastAsia="宋体"/>
                <w:color w:val="auto"/>
                <w:sz w:val="22"/>
              </w:rPr>
              <w:t>国有控股企业</w:t>
            </w:r>
            <w:r>
              <w:rPr>
                <w:rFonts w:ascii="宋体" w:hAnsi="宋体" w:eastAsia="宋体"/>
                <w:color w:val="auto"/>
                <w:sz w:val="22"/>
              </w:rPr>
              <w:t xml:space="preserve">  </w:t>
            </w:r>
            <w:r>
              <w:rPr>
                <w:rFonts w:hint="eastAsia" w:ascii="宋体" w:hAnsi="宋体" w:eastAsia="宋体"/>
                <w:color w:val="auto"/>
                <w:sz w:val="22"/>
                <w:lang w:eastAsia="zh-CN"/>
              </w:rPr>
              <w:t>□</w:t>
            </w:r>
            <w:r>
              <w:rPr>
                <w:rFonts w:hint="eastAsia" w:ascii="宋体" w:hAnsi="宋体" w:eastAsia="宋体"/>
                <w:color w:val="auto"/>
                <w:sz w:val="22"/>
              </w:rPr>
              <w:t>国有参股企业</w:t>
            </w:r>
          </w:p>
          <w:p w14:paraId="356FA014">
            <w:pPr>
              <w:spacing w:line="360" w:lineRule="auto"/>
              <w:rPr>
                <w:rFonts w:ascii="宋体" w:hAnsi="宋体" w:eastAsia="宋体"/>
                <w:color w:val="auto"/>
                <w:sz w:val="22"/>
              </w:rPr>
            </w:pPr>
            <w:r>
              <w:rPr>
                <w:rFonts w:ascii="宋体" w:hAnsi="宋体" w:eastAsia="宋体"/>
                <w:color w:val="auto"/>
                <w:sz w:val="22"/>
              </w:rPr>
              <w:t>□</w:t>
            </w:r>
            <w:r>
              <w:rPr>
                <w:rFonts w:hint="eastAsia" w:ascii="宋体" w:hAnsi="宋体" w:eastAsia="宋体"/>
                <w:color w:val="auto"/>
                <w:sz w:val="22"/>
              </w:rPr>
              <w:t>国有事业单位、社会团体等</w:t>
            </w:r>
            <w:r>
              <w:rPr>
                <w:rFonts w:ascii="宋体" w:hAnsi="宋体" w:eastAsia="宋体"/>
                <w:color w:val="auto"/>
                <w:sz w:val="22"/>
              </w:rPr>
              <w:t xml:space="preserve">  □</w:t>
            </w:r>
            <w:r>
              <w:rPr>
                <w:rFonts w:hint="eastAsia" w:ascii="宋体" w:hAnsi="宋体" w:eastAsia="宋体"/>
                <w:color w:val="auto"/>
                <w:sz w:val="22"/>
              </w:rPr>
              <w:t>内资民营企业</w:t>
            </w:r>
            <w:r>
              <w:rPr>
                <w:rFonts w:ascii="宋体" w:hAnsi="宋体" w:eastAsia="宋体"/>
                <w:color w:val="auto"/>
                <w:sz w:val="22"/>
              </w:rPr>
              <w:t xml:space="preserve">  □</w:t>
            </w:r>
            <w:r>
              <w:rPr>
                <w:rFonts w:hint="eastAsia" w:ascii="宋体" w:hAnsi="宋体" w:eastAsia="宋体"/>
                <w:color w:val="auto"/>
                <w:sz w:val="22"/>
              </w:rPr>
              <w:t>民营社团</w:t>
            </w:r>
          </w:p>
          <w:p w14:paraId="2D591828">
            <w:pPr>
              <w:spacing w:line="360" w:lineRule="auto"/>
              <w:rPr>
                <w:rFonts w:ascii="宋体" w:hAnsi="宋体" w:eastAsia="宋体"/>
                <w:color w:val="auto"/>
                <w:sz w:val="22"/>
              </w:rPr>
            </w:pPr>
            <w:r>
              <w:rPr>
                <w:rFonts w:ascii="宋体" w:hAnsi="宋体" w:eastAsia="宋体"/>
                <w:color w:val="auto"/>
                <w:sz w:val="22"/>
              </w:rPr>
              <w:t>□</w:t>
            </w:r>
            <w:r>
              <w:rPr>
                <w:rFonts w:hint="eastAsia" w:ascii="宋体" w:hAnsi="宋体" w:eastAsia="宋体"/>
                <w:color w:val="auto"/>
                <w:sz w:val="22"/>
              </w:rPr>
              <w:t>中外合资经营企业</w:t>
            </w:r>
            <w:r>
              <w:rPr>
                <w:rFonts w:ascii="宋体" w:hAnsi="宋体" w:eastAsia="宋体"/>
                <w:color w:val="auto"/>
                <w:sz w:val="22"/>
              </w:rPr>
              <w:t xml:space="preserve">  □</w:t>
            </w:r>
            <w:r>
              <w:rPr>
                <w:rFonts w:hint="eastAsia" w:ascii="宋体" w:hAnsi="宋体" w:eastAsia="宋体"/>
                <w:color w:val="auto"/>
                <w:sz w:val="22"/>
              </w:rPr>
              <w:t>中外合作经营企业</w:t>
            </w:r>
            <w:r>
              <w:rPr>
                <w:rFonts w:ascii="宋体" w:hAnsi="宋体" w:eastAsia="宋体"/>
                <w:color w:val="auto"/>
                <w:sz w:val="22"/>
              </w:rPr>
              <w:t xml:space="preserve">  □</w:t>
            </w:r>
            <w:r>
              <w:rPr>
                <w:rFonts w:hint="eastAsia" w:ascii="宋体" w:hAnsi="宋体" w:eastAsia="宋体"/>
                <w:color w:val="auto"/>
                <w:sz w:val="22"/>
              </w:rPr>
              <w:t>外商独资企业</w:t>
            </w:r>
          </w:p>
          <w:p w14:paraId="5FC54FF4">
            <w:pPr>
              <w:spacing w:line="360" w:lineRule="auto"/>
              <w:rPr>
                <w:rFonts w:ascii="宋体" w:hAnsi="宋体" w:eastAsia="宋体"/>
                <w:color w:val="auto"/>
                <w:sz w:val="22"/>
              </w:rPr>
            </w:pPr>
            <w:r>
              <w:rPr>
                <w:rFonts w:ascii="宋体" w:hAnsi="宋体" w:eastAsia="宋体"/>
                <w:color w:val="auto"/>
                <w:sz w:val="22"/>
              </w:rPr>
              <w:t>□</w:t>
            </w:r>
            <w:r>
              <w:rPr>
                <w:rFonts w:hint="eastAsia" w:ascii="宋体" w:hAnsi="宋体" w:eastAsia="宋体"/>
                <w:color w:val="auto"/>
                <w:sz w:val="22"/>
              </w:rPr>
              <w:t>其他类别：</w:t>
            </w:r>
            <w:r>
              <w:rPr>
                <w:rFonts w:ascii="宋体" w:hAnsi="宋体" w:eastAsia="宋体"/>
                <w:color w:val="auto"/>
                <w:sz w:val="22"/>
                <w:u w:val="single"/>
              </w:rPr>
              <w:t xml:space="preserve">      </w:t>
            </w:r>
          </w:p>
        </w:tc>
      </w:tr>
      <w:tr w14:paraId="4CFB4E5A">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0A775C09">
            <w:pPr>
              <w:spacing w:line="360" w:lineRule="auto"/>
              <w:rPr>
                <w:rFonts w:ascii="宋体" w:hAnsi="宋体" w:eastAsia="宋体"/>
                <w:color w:val="auto"/>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2516387C">
            <w:pPr>
              <w:spacing w:line="360" w:lineRule="auto"/>
              <w:jc w:val="center"/>
              <w:rPr>
                <w:rFonts w:ascii="宋体" w:hAnsi="宋体" w:eastAsia="宋体"/>
                <w:color w:val="auto"/>
                <w:sz w:val="22"/>
              </w:rPr>
            </w:pPr>
            <w:r>
              <w:rPr>
                <w:rFonts w:hint="eastAsia" w:ascii="宋体" w:hAnsi="宋体" w:eastAsia="宋体"/>
                <w:color w:val="auto"/>
                <w:sz w:val="22"/>
              </w:rPr>
              <w:t>企业规模</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0BC468B2">
            <w:pPr>
              <w:spacing w:line="360" w:lineRule="auto"/>
              <w:jc w:val="center"/>
              <w:rPr>
                <w:rFonts w:ascii="宋体" w:hAnsi="宋体" w:eastAsia="宋体"/>
                <w:color w:val="auto"/>
                <w:sz w:val="22"/>
              </w:rPr>
            </w:pPr>
            <w:r>
              <w:rPr>
                <w:rFonts w:ascii="宋体" w:hAnsi="宋体" w:eastAsia="宋体"/>
                <w:color w:val="auto"/>
                <w:sz w:val="22"/>
              </w:rPr>
              <w:t>□</w:t>
            </w:r>
            <w:r>
              <w:rPr>
                <w:rFonts w:hint="eastAsia" w:ascii="宋体" w:hAnsi="宋体" w:eastAsia="宋体"/>
                <w:color w:val="auto"/>
                <w:sz w:val="22"/>
              </w:rPr>
              <w:t>大型</w:t>
            </w:r>
            <w:r>
              <w:rPr>
                <w:rFonts w:ascii="宋体" w:hAnsi="宋体" w:eastAsia="宋体"/>
                <w:color w:val="auto"/>
                <w:sz w:val="22"/>
              </w:rPr>
              <w:t xml:space="preserve">    □</w:t>
            </w:r>
            <w:r>
              <w:rPr>
                <w:rFonts w:hint="eastAsia" w:ascii="宋体" w:hAnsi="宋体" w:eastAsia="宋体"/>
                <w:color w:val="auto"/>
                <w:sz w:val="22"/>
              </w:rPr>
              <w:t>中型</w:t>
            </w:r>
            <w:r>
              <w:rPr>
                <w:rFonts w:ascii="宋体" w:hAnsi="宋体" w:eastAsia="宋体"/>
                <w:color w:val="auto"/>
                <w:sz w:val="22"/>
              </w:rPr>
              <w:t xml:space="preserve">    </w:t>
            </w:r>
            <w:r>
              <w:rPr>
                <w:rFonts w:hint="eastAsia" w:ascii="宋体" w:hAnsi="宋体" w:eastAsia="宋体"/>
                <w:color w:val="auto"/>
                <w:sz w:val="22"/>
                <w:lang w:eastAsia="zh-CN"/>
              </w:rPr>
              <w:t>□</w:t>
            </w:r>
            <w:r>
              <w:rPr>
                <w:rFonts w:hint="eastAsia" w:ascii="宋体" w:hAnsi="宋体" w:eastAsia="宋体"/>
                <w:color w:val="auto"/>
                <w:sz w:val="22"/>
              </w:rPr>
              <w:t>小型</w:t>
            </w:r>
            <w:r>
              <w:rPr>
                <w:rFonts w:ascii="宋体" w:hAnsi="宋体" w:eastAsia="宋体"/>
                <w:color w:val="auto"/>
                <w:sz w:val="22"/>
              </w:rPr>
              <w:t xml:space="preserve">  </w:t>
            </w:r>
          </w:p>
        </w:tc>
      </w:tr>
      <w:tr w14:paraId="0B28518B">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4E33F647">
            <w:pPr>
              <w:spacing w:line="360" w:lineRule="auto"/>
              <w:rPr>
                <w:rFonts w:ascii="宋体" w:hAnsi="宋体" w:eastAsia="宋体"/>
                <w:color w:val="auto"/>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28AC36E1">
            <w:pPr>
              <w:spacing w:line="360" w:lineRule="auto"/>
              <w:jc w:val="center"/>
              <w:rPr>
                <w:rFonts w:ascii="宋体" w:hAnsi="宋体" w:eastAsia="宋体"/>
                <w:color w:val="auto"/>
                <w:sz w:val="22"/>
              </w:rPr>
            </w:pPr>
            <w:r>
              <w:rPr>
                <w:rFonts w:hint="eastAsia" w:ascii="宋体" w:hAnsi="宋体" w:eastAsia="宋体"/>
                <w:color w:val="auto"/>
                <w:sz w:val="22"/>
              </w:rPr>
              <w:t>组织机构代码</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64C177CF">
            <w:pPr>
              <w:spacing w:line="360" w:lineRule="auto"/>
              <w:jc w:val="center"/>
              <w:rPr>
                <w:rFonts w:hint="default" w:ascii="宋体" w:hAnsi="宋体" w:eastAsia="宋体"/>
                <w:color w:val="auto"/>
                <w:sz w:val="22"/>
                <w:lang w:val="en-US" w:eastAsia="zh-CN"/>
              </w:rPr>
            </w:pPr>
          </w:p>
        </w:tc>
      </w:tr>
      <w:tr w14:paraId="6294EB34">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6BA56EC4">
            <w:pPr>
              <w:spacing w:line="360" w:lineRule="auto"/>
              <w:rPr>
                <w:rFonts w:ascii="宋体" w:hAnsi="宋体" w:eastAsia="宋体"/>
                <w:color w:val="auto"/>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382FA720">
            <w:pPr>
              <w:spacing w:line="360" w:lineRule="auto"/>
              <w:jc w:val="center"/>
              <w:rPr>
                <w:rFonts w:ascii="宋体" w:hAnsi="宋体" w:eastAsia="宋体"/>
                <w:color w:val="auto"/>
                <w:sz w:val="22"/>
              </w:rPr>
            </w:pPr>
            <w:r>
              <w:rPr>
                <w:rFonts w:hint="eastAsia" w:ascii="宋体" w:hAnsi="宋体" w:eastAsia="宋体"/>
                <w:color w:val="auto"/>
                <w:sz w:val="22"/>
              </w:rPr>
              <w:t>经营范围</w:t>
            </w:r>
          </w:p>
        </w:tc>
        <w:tc>
          <w:tcPr>
            <w:tcW w:w="6387" w:type="dxa"/>
            <w:gridSpan w:val="11"/>
            <w:tcBorders>
              <w:top w:val="single" w:color="auto" w:sz="4" w:space="0"/>
              <w:left w:val="single" w:color="auto" w:sz="4" w:space="0"/>
              <w:bottom w:val="single" w:color="auto" w:sz="4" w:space="0"/>
              <w:right w:val="single" w:color="auto" w:sz="4" w:space="0"/>
            </w:tcBorders>
            <w:vAlign w:val="bottom"/>
          </w:tcPr>
          <w:p w14:paraId="4946DA70">
            <w:pPr>
              <w:spacing w:line="360" w:lineRule="auto"/>
              <w:rPr>
                <w:rFonts w:hint="default" w:ascii="宋体" w:hAnsi="宋体" w:eastAsia="宋体"/>
                <w:color w:val="auto"/>
                <w:sz w:val="22"/>
                <w:lang w:val="en-US" w:eastAsia="zh-CN"/>
              </w:rPr>
            </w:pPr>
          </w:p>
        </w:tc>
      </w:tr>
      <w:tr w14:paraId="62A6A6D0">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256E8328">
            <w:pPr>
              <w:spacing w:line="360" w:lineRule="auto"/>
              <w:jc w:val="center"/>
              <w:rPr>
                <w:rFonts w:ascii="宋体" w:hAnsi="宋体" w:eastAsia="宋体"/>
                <w:color w:val="auto"/>
                <w:sz w:val="22"/>
              </w:rPr>
            </w:pPr>
          </w:p>
        </w:tc>
        <w:tc>
          <w:tcPr>
            <w:tcW w:w="1520" w:type="dxa"/>
            <w:vMerge w:val="restart"/>
            <w:tcBorders>
              <w:top w:val="single" w:color="auto" w:sz="4" w:space="0"/>
              <w:left w:val="single" w:color="auto" w:sz="4" w:space="0"/>
              <w:bottom w:val="single" w:color="auto" w:sz="4" w:space="0"/>
              <w:right w:val="single" w:color="auto" w:sz="4" w:space="0"/>
            </w:tcBorders>
            <w:vAlign w:val="center"/>
          </w:tcPr>
          <w:p w14:paraId="4B4F1B5E">
            <w:pPr>
              <w:spacing w:line="360" w:lineRule="auto"/>
              <w:jc w:val="center"/>
              <w:rPr>
                <w:rFonts w:ascii="宋体" w:hAnsi="宋体" w:eastAsia="宋体"/>
                <w:color w:val="auto"/>
                <w:sz w:val="22"/>
              </w:rPr>
            </w:pPr>
            <w:r>
              <w:rPr>
                <w:rFonts w:hint="eastAsia" w:ascii="宋体" w:hAnsi="宋体" w:eastAsia="宋体"/>
                <w:color w:val="auto"/>
                <w:sz w:val="22"/>
              </w:rPr>
              <w:t>近期资产状况</w:t>
            </w:r>
          </w:p>
        </w:tc>
        <w:tc>
          <w:tcPr>
            <w:tcW w:w="4053" w:type="dxa"/>
            <w:gridSpan w:val="7"/>
            <w:tcBorders>
              <w:top w:val="single" w:color="auto" w:sz="4" w:space="0"/>
              <w:left w:val="single" w:color="auto" w:sz="4" w:space="0"/>
              <w:bottom w:val="single" w:color="auto" w:sz="4" w:space="0"/>
              <w:right w:val="single" w:color="auto" w:sz="4" w:space="0"/>
            </w:tcBorders>
            <w:vAlign w:val="center"/>
          </w:tcPr>
          <w:p w14:paraId="3C26EA8C">
            <w:pPr>
              <w:spacing w:line="360" w:lineRule="auto"/>
              <w:rPr>
                <w:rFonts w:ascii="宋体" w:hAnsi="宋体" w:eastAsia="宋体"/>
                <w:color w:val="auto"/>
                <w:sz w:val="22"/>
              </w:rPr>
            </w:pPr>
            <w:r>
              <w:rPr>
                <w:rFonts w:hint="eastAsia" w:ascii="宋体" w:hAnsi="宋体" w:eastAsia="宋体"/>
                <w:color w:val="auto"/>
                <w:sz w:val="22"/>
              </w:rPr>
              <w:t>以下数据出自：</w:t>
            </w:r>
            <w:r>
              <w:rPr>
                <w:rFonts w:ascii="宋体" w:hAnsi="宋体" w:eastAsia="宋体"/>
                <w:color w:val="auto"/>
                <w:sz w:val="22"/>
              </w:rPr>
              <w:t>□</w:t>
            </w:r>
            <w:r>
              <w:rPr>
                <w:rFonts w:hint="eastAsia" w:ascii="宋体" w:hAnsi="宋体" w:eastAsia="宋体"/>
                <w:color w:val="auto"/>
                <w:sz w:val="22"/>
              </w:rPr>
              <w:t>审计报告</w:t>
            </w:r>
            <w:r>
              <w:rPr>
                <w:rFonts w:ascii="宋体" w:hAnsi="宋体" w:eastAsia="宋体"/>
                <w:color w:val="auto"/>
                <w:sz w:val="22"/>
              </w:rPr>
              <w:t xml:space="preserve"> □</w:t>
            </w:r>
            <w:r>
              <w:rPr>
                <w:rFonts w:hint="eastAsia" w:ascii="宋体" w:hAnsi="宋体" w:eastAsia="宋体"/>
                <w:color w:val="auto"/>
                <w:sz w:val="22"/>
              </w:rPr>
              <w:t>财务报表</w:t>
            </w:r>
          </w:p>
        </w:tc>
        <w:tc>
          <w:tcPr>
            <w:tcW w:w="2334" w:type="dxa"/>
            <w:gridSpan w:val="4"/>
            <w:tcBorders>
              <w:top w:val="single" w:color="auto" w:sz="4" w:space="0"/>
              <w:left w:val="single" w:color="auto" w:sz="4" w:space="0"/>
              <w:bottom w:val="single" w:color="auto" w:sz="4" w:space="0"/>
              <w:right w:val="single" w:color="auto" w:sz="4" w:space="0"/>
            </w:tcBorders>
            <w:vAlign w:val="center"/>
          </w:tcPr>
          <w:p w14:paraId="2327B084">
            <w:pPr>
              <w:spacing w:line="360" w:lineRule="auto"/>
              <w:ind w:left="48"/>
              <w:rPr>
                <w:rFonts w:ascii="宋体" w:hAnsi="宋体" w:eastAsia="宋体"/>
                <w:color w:val="auto"/>
                <w:sz w:val="22"/>
              </w:rPr>
            </w:pPr>
            <w:r>
              <w:rPr>
                <w:rFonts w:hint="eastAsia" w:ascii="宋体" w:hAnsi="宋体" w:eastAsia="宋体"/>
                <w:color w:val="auto"/>
                <w:sz w:val="22"/>
              </w:rPr>
              <w:t>报表时间：</w:t>
            </w:r>
          </w:p>
        </w:tc>
      </w:tr>
      <w:tr w14:paraId="304C37D7">
        <w:tblPrEx>
          <w:tblCellMar>
            <w:top w:w="0" w:type="dxa"/>
            <w:left w:w="0" w:type="dxa"/>
            <w:bottom w:w="0" w:type="dxa"/>
            <w:right w:w="0" w:type="dxa"/>
          </w:tblCellMar>
        </w:tblPrEx>
        <w:trPr>
          <w:cantSplit/>
          <w:trHeight w:val="410"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3F0C6FDB">
            <w:pPr>
              <w:spacing w:line="360" w:lineRule="auto"/>
              <w:rPr>
                <w:rFonts w:ascii="宋体" w:hAnsi="宋体" w:eastAsia="宋体"/>
                <w:color w:val="auto"/>
                <w:sz w:val="22"/>
              </w:rPr>
            </w:pPr>
          </w:p>
        </w:tc>
        <w:tc>
          <w:tcPr>
            <w:tcW w:w="1520" w:type="dxa"/>
            <w:vMerge w:val="continue"/>
            <w:tcBorders>
              <w:top w:val="single" w:color="auto" w:sz="4" w:space="0"/>
              <w:left w:val="single" w:color="auto" w:sz="4" w:space="0"/>
              <w:bottom w:val="single" w:color="auto" w:sz="4" w:space="0"/>
              <w:right w:val="single" w:color="auto" w:sz="4" w:space="0"/>
            </w:tcBorders>
            <w:vAlign w:val="center"/>
          </w:tcPr>
          <w:p w14:paraId="0D814A49">
            <w:pPr>
              <w:spacing w:line="360" w:lineRule="auto"/>
              <w:jc w:val="center"/>
              <w:rPr>
                <w:rFonts w:ascii="宋体" w:hAnsi="宋体" w:eastAsia="宋体"/>
                <w:color w:val="auto"/>
                <w:sz w:val="22"/>
              </w:rPr>
            </w:pPr>
          </w:p>
        </w:tc>
        <w:tc>
          <w:tcPr>
            <w:tcW w:w="1006" w:type="dxa"/>
            <w:tcBorders>
              <w:top w:val="single" w:color="auto" w:sz="4" w:space="0"/>
              <w:left w:val="single" w:color="auto" w:sz="4" w:space="0"/>
              <w:bottom w:val="single" w:color="auto" w:sz="4" w:space="0"/>
              <w:right w:val="single" w:color="auto" w:sz="4" w:space="0"/>
            </w:tcBorders>
            <w:vAlign w:val="center"/>
          </w:tcPr>
          <w:p w14:paraId="0CB0AEFE">
            <w:pPr>
              <w:pStyle w:val="17"/>
              <w:spacing w:line="360" w:lineRule="auto"/>
              <w:jc w:val="center"/>
              <w:rPr>
                <w:rFonts w:ascii="宋体" w:hAnsi="宋体" w:eastAsia="宋体"/>
                <w:color w:val="auto"/>
                <w:sz w:val="22"/>
                <w:szCs w:val="24"/>
              </w:rPr>
            </w:pPr>
            <w:r>
              <w:rPr>
                <w:rFonts w:hint="eastAsia" w:ascii="宋体" w:hAnsi="宋体" w:eastAsia="宋体"/>
                <w:color w:val="auto"/>
                <w:sz w:val="22"/>
                <w:szCs w:val="24"/>
              </w:rPr>
              <w:t>总资产</w:t>
            </w:r>
          </w:p>
          <w:p w14:paraId="7F73691B">
            <w:pPr>
              <w:pStyle w:val="17"/>
              <w:spacing w:line="360" w:lineRule="auto"/>
              <w:jc w:val="center"/>
              <w:rPr>
                <w:rFonts w:ascii="宋体" w:hAnsi="宋体" w:eastAsia="宋体"/>
                <w:color w:val="auto"/>
                <w:sz w:val="22"/>
                <w:szCs w:val="24"/>
              </w:rPr>
            </w:pPr>
            <w:r>
              <w:rPr>
                <w:rFonts w:ascii="宋体" w:hAnsi="宋体" w:eastAsia="宋体"/>
                <w:color w:val="auto"/>
                <w:sz w:val="22"/>
                <w:szCs w:val="24"/>
              </w:rPr>
              <w:t>(</w:t>
            </w:r>
            <w:r>
              <w:rPr>
                <w:rFonts w:hint="eastAsia" w:ascii="宋体" w:hAnsi="宋体" w:eastAsia="宋体"/>
                <w:color w:val="auto"/>
                <w:sz w:val="22"/>
                <w:szCs w:val="24"/>
              </w:rPr>
              <w:t>万元</w:t>
            </w:r>
            <w:r>
              <w:rPr>
                <w:rFonts w:ascii="宋体" w:hAnsi="宋体" w:eastAsia="宋体"/>
                <w:color w:val="auto"/>
                <w:sz w:val="22"/>
                <w:szCs w:val="24"/>
              </w:rPr>
              <w:t>)</w:t>
            </w:r>
          </w:p>
        </w:tc>
        <w:tc>
          <w:tcPr>
            <w:tcW w:w="1112" w:type="dxa"/>
            <w:gridSpan w:val="2"/>
            <w:tcBorders>
              <w:top w:val="single" w:color="auto" w:sz="4" w:space="0"/>
              <w:left w:val="single" w:color="auto" w:sz="4" w:space="0"/>
              <w:bottom w:val="single" w:color="auto" w:sz="4" w:space="0"/>
              <w:right w:val="single" w:color="auto" w:sz="4" w:space="0"/>
            </w:tcBorders>
            <w:vAlign w:val="center"/>
          </w:tcPr>
          <w:p w14:paraId="1354DDE2">
            <w:pPr>
              <w:pStyle w:val="17"/>
              <w:spacing w:line="360" w:lineRule="auto"/>
              <w:jc w:val="center"/>
              <w:rPr>
                <w:color w:val="auto"/>
              </w:rPr>
            </w:pPr>
          </w:p>
          <w:p w14:paraId="3C21507E">
            <w:pPr>
              <w:rPr>
                <w:color w:val="auto"/>
              </w:rPr>
            </w:pPr>
          </w:p>
        </w:tc>
        <w:tc>
          <w:tcPr>
            <w:tcW w:w="795" w:type="dxa"/>
            <w:gridSpan w:val="3"/>
            <w:tcBorders>
              <w:top w:val="single" w:color="auto" w:sz="4" w:space="0"/>
              <w:left w:val="single" w:color="auto" w:sz="4" w:space="0"/>
              <w:bottom w:val="single" w:color="auto" w:sz="4" w:space="0"/>
              <w:right w:val="single" w:color="auto" w:sz="4" w:space="0"/>
            </w:tcBorders>
            <w:vAlign w:val="center"/>
          </w:tcPr>
          <w:p w14:paraId="293E78DA">
            <w:pPr>
              <w:pStyle w:val="17"/>
              <w:spacing w:line="360" w:lineRule="auto"/>
              <w:jc w:val="center"/>
              <w:rPr>
                <w:rFonts w:ascii="宋体" w:hAnsi="宋体" w:eastAsia="宋体"/>
                <w:color w:val="auto"/>
                <w:sz w:val="22"/>
                <w:szCs w:val="24"/>
              </w:rPr>
            </w:pPr>
            <w:r>
              <w:rPr>
                <w:rFonts w:hint="eastAsia" w:ascii="宋体" w:hAnsi="宋体" w:eastAsia="宋体"/>
                <w:color w:val="auto"/>
                <w:sz w:val="22"/>
                <w:szCs w:val="24"/>
              </w:rPr>
              <w:t>总负债</w:t>
            </w:r>
            <w:r>
              <w:rPr>
                <w:rFonts w:ascii="宋体" w:hAnsi="宋体" w:eastAsia="宋体"/>
                <w:color w:val="auto"/>
                <w:sz w:val="22"/>
                <w:szCs w:val="24"/>
              </w:rPr>
              <w:t>(</w:t>
            </w:r>
            <w:r>
              <w:rPr>
                <w:rFonts w:hint="eastAsia" w:ascii="宋体" w:hAnsi="宋体" w:eastAsia="宋体"/>
                <w:color w:val="auto"/>
                <w:sz w:val="22"/>
                <w:szCs w:val="24"/>
              </w:rPr>
              <w:t>万元</w:t>
            </w:r>
            <w:r>
              <w:rPr>
                <w:rFonts w:ascii="宋体" w:hAnsi="宋体" w:eastAsia="宋体"/>
                <w:color w:val="auto"/>
                <w:sz w:val="22"/>
                <w:szCs w:val="24"/>
              </w:rPr>
              <w:t>)</w:t>
            </w:r>
          </w:p>
        </w:tc>
        <w:tc>
          <w:tcPr>
            <w:tcW w:w="1140" w:type="dxa"/>
            <w:tcBorders>
              <w:top w:val="single" w:color="auto" w:sz="4" w:space="0"/>
              <w:left w:val="single" w:color="auto" w:sz="4" w:space="0"/>
              <w:bottom w:val="single" w:color="auto" w:sz="4" w:space="0"/>
              <w:right w:val="single" w:color="auto" w:sz="4" w:space="0"/>
            </w:tcBorders>
            <w:vAlign w:val="center"/>
          </w:tcPr>
          <w:p w14:paraId="0A4F813B">
            <w:pPr>
              <w:pStyle w:val="17"/>
              <w:spacing w:line="360" w:lineRule="auto"/>
              <w:jc w:val="center"/>
              <w:rPr>
                <w:color w:val="auto"/>
              </w:rPr>
            </w:pPr>
          </w:p>
          <w:p w14:paraId="27472E59">
            <w:pPr>
              <w:pStyle w:val="8"/>
              <w:rPr>
                <w:color w:val="auto"/>
              </w:rPr>
            </w:pPr>
          </w:p>
        </w:tc>
        <w:tc>
          <w:tcPr>
            <w:tcW w:w="1005" w:type="dxa"/>
            <w:gridSpan w:val="3"/>
            <w:tcBorders>
              <w:top w:val="single" w:color="auto" w:sz="4" w:space="0"/>
              <w:left w:val="single" w:color="auto" w:sz="4" w:space="0"/>
              <w:bottom w:val="single" w:color="auto" w:sz="4" w:space="0"/>
              <w:right w:val="single" w:color="auto" w:sz="4" w:space="0"/>
            </w:tcBorders>
            <w:vAlign w:val="center"/>
          </w:tcPr>
          <w:p w14:paraId="2A870B78">
            <w:pPr>
              <w:pStyle w:val="17"/>
              <w:spacing w:line="360" w:lineRule="auto"/>
              <w:jc w:val="center"/>
              <w:rPr>
                <w:rFonts w:ascii="宋体" w:hAnsi="宋体" w:eastAsia="宋体"/>
                <w:color w:val="auto"/>
                <w:sz w:val="22"/>
                <w:szCs w:val="24"/>
              </w:rPr>
            </w:pPr>
            <w:r>
              <w:rPr>
                <w:rFonts w:hint="eastAsia" w:ascii="宋体" w:hAnsi="宋体" w:eastAsia="宋体"/>
                <w:color w:val="auto"/>
                <w:sz w:val="22"/>
                <w:szCs w:val="24"/>
              </w:rPr>
              <w:t>净资产</w:t>
            </w:r>
          </w:p>
          <w:p w14:paraId="30989F52">
            <w:pPr>
              <w:pStyle w:val="17"/>
              <w:spacing w:line="360" w:lineRule="auto"/>
              <w:jc w:val="center"/>
              <w:rPr>
                <w:rFonts w:ascii="宋体" w:hAnsi="宋体" w:eastAsia="宋体"/>
                <w:color w:val="auto"/>
                <w:sz w:val="22"/>
                <w:szCs w:val="24"/>
              </w:rPr>
            </w:pPr>
            <w:r>
              <w:rPr>
                <w:rFonts w:ascii="宋体" w:hAnsi="宋体" w:eastAsia="宋体"/>
                <w:color w:val="auto"/>
                <w:sz w:val="22"/>
                <w:szCs w:val="24"/>
              </w:rPr>
              <w:t>(</w:t>
            </w:r>
            <w:r>
              <w:rPr>
                <w:rFonts w:hint="eastAsia" w:ascii="宋体" w:hAnsi="宋体" w:eastAsia="宋体"/>
                <w:color w:val="auto"/>
                <w:sz w:val="22"/>
                <w:szCs w:val="24"/>
              </w:rPr>
              <w:t>万元</w:t>
            </w:r>
            <w:r>
              <w:rPr>
                <w:rFonts w:ascii="宋体" w:hAnsi="宋体" w:eastAsia="宋体"/>
                <w:color w:val="auto"/>
                <w:sz w:val="22"/>
                <w:szCs w:val="24"/>
              </w:rPr>
              <w:t>)</w:t>
            </w:r>
          </w:p>
        </w:tc>
        <w:tc>
          <w:tcPr>
            <w:tcW w:w="1329" w:type="dxa"/>
            <w:tcBorders>
              <w:top w:val="single" w:color="auto" w:sz="4" w:space="0"/>
              <w:left w:val="single" w:color="auto" w:sz="4" w:space="0"/>
              <w:bottom w:val="single" w:color="auto" w:sz="4" w:space="0"/>
              <w:right w:val="single" w:color="auto" w:sz="4" w:space="0"/>
            </w:tcBorders>
            <w:vAlign w:val="center"/>
          </w:tcPr>
          <w:p w14:paraId="37836BE9">
            <w:pPr>
              <w:pStyle w:val="17"/>
              <w:spacing w:line="360" w:lineRule="auto"/>
              <w:jc w:val="center"/>
              <w:rPr>
                <w:rFonts w:ascii="宋体" w:hAnsi="宋体" w:eastAsia="宋体"/>
                <w:color w:val="auto"/>
                <w:sz w:val="22"/>
                <w:szCs w:val="24"/>
              </w:rPr>
            </w:pPr>
          </w:p>
        </w:tc>
      </w:tr>
      <w:tr w14:paraId="1999FF23">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212A6CB4">
            <w:pPr>
              <w:spacing w:line="360" w:lineRule="auto"/>
              <w:jc w:val="center"/>
              <w:rPr>
                <w:rFonts w:ascii="宋体" w:hAnsi="宋体" w:eastAsia="宋体"/>
                <w:color w:val="auto"/>
                <w:sz w:val="22"/>
              </w:rPr>
            </w:pP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50F71C92">
            <w:pPr>
              <w:spacing w:line="360" w:lineRule="auto"/>
              <w:jc w:val="center"/>
              <w:rPr>
                <w:rFonts w:ascii="宋体" w:hAnsi="宋体" w:eastAsia="宋体"/>
                <w:color w:val="auto"/>
                <w:sz w:val="22"/>
              </w:rPr>
            </w:pPr>
            <w:r>
              <w:rPr>
                <w:rFonts w:hint="eastAsia" w:ascii="宋体" w:hAnsi="宋体" w:eastAsia="宋体"/>
                <w:bCs/>
                <w:color w:val="auto"/>
                <w:sz w:val="22"/>
              </w:rPr>
              <w:t>自</w:t>
            </w:r>
            <w:r>
              <w:rPr>
                <w:rFonts w:ascii="宋体" w:hAnsi="宋体" w:eastAsia="宋体"/>
                <w:bCs/>
                <w:color w:val="auto"/>
                <w:sz w:val="22"/>
              </w:rPr>
              <w:t xml:space="preserve"> </w:t>
            </w:r>
            <w:r>
              <w:rPr>
                <w:rFonts w:hint="eastAsia" w:ascii="宋体" w:hAnsi="宋体" w:eastAsia="宋体"/>
                <w:bCs/>
                <w:color w:val="auto"/>
                <w:sz w:val="22"/>
              </w:rPr>
              <w:t>然</w:t>
            </w:r>
            <w:r>
              <w:rPr>
                <w:rFonts w:ascii="宋体" w:hAnsi="宋体" w:eastAsia="宋体"/>
                <w:bCs/>
                <w:color w:val="auto"/>
                <w:sz w:val="22"/>
              </w:rPr>
              <w:t xml:space="preserve"> </w:t>
            </w:r>
            <w:r>
              <w:rPr>
                <w:rFonts w:hint="eastAsia" w:ascii="宋体" w:hAnsi="宋体" w:eastAsia="宋体"/>
                <w:bCs/>
                <w:color w:val="auto"/>
                <w:sz w:val="22"/>
              </w:rPr>
              <w:t>人</w:t>
            </w:r>
          </w:p>
        </w:tc>
      </w:tr>
      <w:tr w14:paraId="164C294E">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09F225B5">
            <w:pPr>
              <w:spacing w:line="360" w:lineRule="auto"/>
              <w:jc w:val="center"/>
              <w:rPr>
                <w:rFonts w:ascii="宋体" w:hAnsi="宋体" w:eastAsia="宋体"/>
                <w:color w:val="auto"/>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54550651">
            <w:pPr>
              <w:jc w:val="center"/>
              <w:rPr>
                <w:rFonts w:ascii="宋体" w:hAnsi="宋体" w:eastAsia="宋体"/>
                <w:color w:val="auto"/>
                <w:sz w:val="22"/>
              </w:rPr>
            </w:pPr>
            <w:r>
              <w:rPr>
                <w:rFonts w:hint="eastAsia" w:ascii="宋体" w:hAnsi="宋体" w:eastAsia="宋体"/>
                <w:color w:val="auto"/>
                <w:sz w:val="22"/>
              </w:rPr>
              <w:t>证件名称</w:t>
            </w:r>
          </w:p>
        </w:tc>
        <w:tc>
          <w:tcPr>
            <w:tcW w:w="2433" w:type="dxa"/>
            <w:gridSpan w:val="5"/>
            <w:tcBorders>
              <w:top w:val="single" w:color="auto" w:sz="4" w:space="0"/>
              <w:left w:val="single" w:color="auto" w:sz="4" w:space="0"/>
              <w:bottom w:val="single" w:color="auto" w:sz="4" w:space="0"/>
              <w:right w:val="single" w:color="auto" w:sz="4" w:space="0"/>
            </w:tcBorders>
            <w:vAlign w:val="bottom"/>
          </w:tcPr>
          <w:p w14:paraId="3DB5451A">
            <w:pPr>
              <w:spacing w:line="360" w:lineRule="auto"/>
              <w:jc w:val="center"/>
              <w:rPr>
                <w:rFonts w:hint="eastAsia" w:ascii="宋体" w:hAnsi="宋体" w:eastAsia="宋体"/>
                <w:color w:val="auto"/>
                <w:sz w:val="22"/>
                <w:lang w:val="en-US" w:eastAsia="zh-CN"/>
              </w:rPr>
            </w:pPr>
          </w:p>
        </w:tc>
        <w:tc>
          <w:tcPr>
            <w:tcW w:w="1620" w:type="dxa"/>
            <w:gridSpan w:val="2"/>
            <w:tcBorders>
              <w:top w:val="single" w:color="auto" w:sz="4" w:space="0"/>
              <w:left w:val="single" w:color="auto" w:sz="4" w:space="0"/>
              <w:bottom w:val="single" w:color="auto" w:sz="4" w:space="0"/>
              <w:right w:val="single" w:color="auto" w:sz="4" w:space="0"/>
            </w:tcBorders>
            <w:vAlign w:val="center"/>
          </w:tcPr>
          <w:p w14:paraId="2683E008">
            <w:pPr>
              <w:spacing w:line="360" w:lineRule="auto"/>
              <w:jc w:val="center"/>
              <w:rPr>
                <w:rFonts w:ascii="宋体" w:hAnsi="宋体" w:eastAsia="宋体"/>
                <w:color w:val="auto"/>
                <w:sz w:val="22"/>
              </w:rPr>
            </w:pPr>
            <w:r>
              <w:rPr>
                <w:rFonts w:hint="eastAsia" w:ascii="宋体" w:hAnsi="宋体" w:eastAsia="宋体"/>
                <w:color w:val="auto"/>
                <w:sz w:val="22"/>
              </w:rPr>
              <w:t>证件号码</w:t>
            </w:r>
          </w:p>
        </w:tc>
        <w:tc>
          <w:tcPr>
            <w:tcW w:w="2334" w:type="dxa"/>
            <w:gridSpan w:val="4"/>
            <w:tcBorders>
              <w:top w:val="single" w:color="auto" w:sz="4" w:space="0"/>
              <w:left w:val="single" w:color="auto" w:sz="4" w:space="0"/>
              <w:bottom w:val="single" w:color="auto" w:sz="4" w:space="0"/>
              <w:right w:val="single" w:color="auto" w:sz="4" w:space="0"/>
            </w:tcBorders>
            <w:vAlign w:val="bottom"/>
          </w:tcPr>
          <w:p w14:paraId="30CB1EEA">
            <w:pPr>
              <w:spacing w:line="360" w:lineRule="auto"/>
              <w:jc w:val="center"/>
              <w:rPr>
                <w:rFonts w:hint="default" w:ascii="宋体" w:hAnsi="宋体" w:eastAsia="宋体"/>
                <w:color w:val="auto"/>
                <w:sz w:val="22"/>
                <w:lang w:val="en-US" w:eastAsia="zh-CN"/>
              </w:rPr>
            </w:pPr>
          </w:p>
        </w:tc>
      </w:tr>
      <w:tr w14:paraId="2F9B6332">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03866EA1">
            <w:pPr>
              <w:spacing w:line="360" w:lineRule="auto"/>
              <w:jc w:val="center"/>
              <w:rPr>
                <w:rFonts w:ascii="宋体" w:hAnsi="宋体" w:eastAsia="宋体"/>
                <w:color w:val="auto"/>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41FB6DEA">
            <w:pPr>
              <w:spacing w:line="360" w:lineRule="auto"/>
              <w:jc w:val="center"/>
              <w:rPr>
                <w:rFonts w:ascii="宋体" w:hAnsi="宋体" w:eastAsia="宋体"/>
                <w:color w:val="auto"/>
                <w:sz w:val="22"/>
              </w:rPr>
            </w:pPr>
            <w:r>
              <w:rPr>
                <w:rFonts w:hint="eastAsia" w:ascii="宋体" w:hAnsi="宋体" w:eastAsia="宋体"/>
                <w:color w:val="auto"/>
                <w:sz w:val="22"/>
              </w:rPr>
              <w:t>工作单位</w:t>
            </w:r>
          </w:p>
        </w:tc>
        <w:tc>
          <w:tcPr>
            <w:tcW w:w="2433" w:type="dxa"/>
            <w:gridSpan w:val="5"/>
            <w:tcBorders>
              <w:top w:val="single" w:color="auto" w:sz="4" w:space="0"/>
              <w:left w:val="single" w:color="auto" w:sz="4" w:space="0"/>
              <w:bottom w:val="single" w:color="auto" w:sz="4" w:space="0"/>
              <w:right w:val="single" w:color="auto" w:sz="4" w:space="0"/>
            </w:tcBorders>
            <w:vAlign w:val="bottom"/>
          </w:tcPr>
          <w:p w14:paraId="673BF0EC">
            <w:pPr>
              <w:spacing w:line="360" w:lineRule="auto"/>
              <w:rPr>
                <w:rFonts w:hint="default" w:ascii="宋体" w:hAnsi="宋体" w:eastAsia="宋体"/>
                <w:color w:val="auto"/>
                <w:sz w:val="22"/>
                <w:lang w:val="en-US" w:eastAsia="zh-CN"/>
              </w:rPr>
            </w:pPr>
          </w:p>
        </w:tc>
        <w:tc>
          <w:tcPr>
            <w:tcW w:w="1620" w:type="dxa"/>
            <w:gridSpan w:val="2"/>
            <w:tcBorders>
              <w:top w:val="single" w:color="auto" w:sz="4" w:space="0"/>
              <w:left w:val="single" w:color="auto" w:sz="4" w:space="0"/>
              <w:bottom w:val="single" w:color="auto" w:sz="4" w:space="0"/>
              <w:right w:val="single" w:color="auto" w:sz="4" w:space="0"/>
            </w:tcBorders>
            <w:vAlign w:val="center"/>
          </w:tcPr>
          <w:p w14:paraId="588BA457">
            <w:pPr>
              <w:spacing w:line="360" w:lineRule="auto"/>
              <w:jc w:val="center"/>
              <w:rPr>
                <w:rFonts w:ascii="宋体" w:hAnsi="宋体" w:eastAsia="宋体"/>
                <w:color w:val="auto"/>
                <w:sz w:val="22"/>
              </w:rPr>
            </w:pPr>
            <w:r>
              <w:rPr>
                <w:rFonts w:hint="eastAsia" w:ascii="宋体" w:hAnsi="宋体" w:eastAsia="宋体"/>
                <w:color w:val="auto"/>
                <w:sz w:val="22"/>
              </w:rPr>
              <w:t>职务</w:t>
            </w:r>
          </w:p>
        </w:tc>
        <w:tc>
          <w:tcPr>
            <w:tcW w:w="2334" w:type="dxa"/>
            <w:gridSpan w:val="4"/>
            <w:tcBorders>
              <w:top w:val="single" w:color="auto" w:sz="4" w:space="0"/>
              <w:left w:val="single" w:color="auto" w:sz="4" w:space="0"/>
              <w:bottom w:val="single" w:color="auto" w:sz="4" w:space="0"/>
              <w:right w:val="single" w:color="auto" w:sz="4" w:space="0"/>
            </w:tcBorders>
            <w:vAlign w:val="bottom"/>
          </w:tcPr>
          <w:p w14:paraId="560419F8">
            <w:pPr>
              <w:spacing w:line="360" w:lineRule="auto"/>
              <w:jc w:val="center"/>
              <w:rPr>
                <w:rFonts w:hint="default" w:ascii="宋体" w:hAnsi="宋体" w:eastAsia="宋体"/>
                <w:color w:val="auto"/>
                <w:sz w:val="22"/>
                <w:lang w:val="en-US" w:eastAsia="zh-CN"/>
              </w:rPr>
            </w:pPr>
          </w:p>
        </w:tc>
      </w:tr>
      <w:tr w14:paraId="3AB1910E">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2FC19D9A">
            <w:pPr>
              <w:spacing w:line="360" w:lineRule="auto"/>
              <w:jc w:val="center"/>
              <w:rPr>
                <w:rFonts w:ascii="宋体" w:hAnsi="宋体" w:eastAsia="宋体"/>
                <w:color w:val="auto"/>
                <w:sz w:val="22"/>
              </w:rPr>
            </w:pPr>
          </w:p>
        </w:tc>
        <w:tc>
          <w:tcPr>
            <w:tcW w:w="1520" w:type="dxa"/>
            <w:tcBorders>
              <w:top w:val="single" w:color="auto" w:sz="4" w:space="0"/>
              <w:left w:val="nil"/>
              <w:bottom w:val="single" w:color="auto" w:sz="4" w:space="0"/>
              <w:right w:val="single" w:color="auto" w:sz="4" w:space="0"/>
            </w:tcBorders>
            <w:vAlign w:val="center"/>
          </w:tcPr>
          <w:p w14:paraId="6CEE68B1">
            <w:pPr>
              <w:spacing w:line="360" w:lineRule="auto"/>
              <w:jc w:val="center"/>
              <w:rPr>
                <w:rFonts w:ascii="宋体" w:hAnsi="宋体" w:eastAsia="宋体"/>
                <w:color w:val="auto"/>
                <w:sz w:val="22"/>
              </w:rPr>
            </w:pPr>
            <w:r>
              <w:rPr>
                <w:rFonts w:hint="eastAsia" w:ascii="宋体" w:hAnsi="宋体" w:eastAsia="宋体"/>
                <w:color w:val="auto"/>
                <w:sz w:val="22"/>
              </w:rPr>
              <w:t>资金来源</w:t>
            </w:r>
          </w:p>
        </w:tc>
        <w:tc>
          <w:tcPr>
            <w:tcW w:w="6387" w:type="dxa"/>
            <w:gridSpan w:val="11"/>
            <w:tcBorders>
              <w:top w:val="single" w:color="auto" w:sz="4" w:space="0"/>
              <w:left w:val="nil"/>
              <w:bottom w:val="single" w:color="auto" w:sz="4" w:space="0"/>
              <w:right w:val="single" w:color="auto" w:sz="4" w:space="0"/>
            </w:tcBorders>
            <w:vAlign w:val="center"/>
          </w:tcPr>
          <w:p w14:paraId="1EAED925">
            <w:pPr>
              <w:spacing w:line="360" w:lineRule="auto"/>
              <w:jc w:val="left"/>
              <w:rPr>
                <w:rFonts w:ascii="宋体" w:hAnsi="宋体" w:eastAsia="宋体"/>
                <w:color w:val="auto"/>
                <w:sz w:val="22"/>
              </w:rPr>
            </w:pPr>
            <w:r>
              <w:rPr>
                <w:rFonts w:ascii="宋体" w:hAnsi="宋体" w:eastAsia="宋体"/>
                <w:color w:val="auto"/>
                <w:sz w:val="22"/>
              </w:rPr>
              <w:t xml:space="preserve">     </w:t>
            </w:r>
            <w:r>
              <w:rPr>
                <w:rFonts w:hint="eastAsia" w:ascii="宋体" w:hAnsi="宋体" w:eastAsia="宋体"/>
                <w:color w:val="auto"/>
                <w:sz w:val="22"/>
                <w:lang w:eastAsia="zh-CN"/>
              </w:rPr>
              <w:t>□</w:t>
            </w:r>
            <w:r>
              <w:rPr>
                <w:rFonts w:hint="eastAsia" w:ascii="宋体" w:hAnsi="宋体" w:eastAsia="宋体"/>
                <w:color w:val="auto"/>
                <w:sz w:val="22"/>
              </w:rPr>
              <w:t>自有</w:t>
            </w:r>
            <w:r>
              <w:rPr>
                <w:rFonts w:ascii="宋体" w:hAnsi="宋体" w:eastAsia="宋体"/>
                <w:color w:val="auto"/>
                <w:sz w:val="22"/>
              </w:rPr>
              <w:t xml:space="preserve">          □</w:t>
            </w:r>
            <w:r>
              <w:rPr>
                <w:rFonts w:hint="eastAsia" w:ascii="宋体" w:hAnsi="宋体" w:eastAsia="宋体"/>
                <w:color w:val="auto"/>
                <w:sz w:val="22"/>
              </w:rPr>
              <w:t>融资</w:t>
            </w:r>
            <w:r>
              <w:rPr>
                <w:rFonts w:ascii="宋体" w:hAnsi="宋体" w:eastAsia="宋体"/>
                <w:color w:val="auto"/>
                <w:sz w:val="22"/>
              </w:rPr>
              <w:t xml:space="preserve">         □</w:t>
            </w:r>
            <w:r>
              <w:rPr>
                <w:rFonts w:hint="eastAsia" w:ascii="宋体" w:hAnsi="宋体" w:eastAsia="宋体"/>
                <w:color w:val="auto"/>
                <w:sz w:val="22"/>
              </w:rPr>
              <w:t>其他：</w:t>
            </w:r>
            <w:r>
              <w:rPr>
                <w:rFonts w:ascii="宋体" w:hAnsi="宋体" w:eastAsia="宋体"/>
                <w:color w:val="auto"/>
                <w:sz w:val="22"/>
                <w:u w:val="single"/>
              </w:rPr>
              <w:t xml:space="preserve">             </w:t>
            </w:r>
          </w:p>
        </w:tc>
      </w:tr>
      <w:tr w14:paraId="40AA7770">
        <w:tblPrEx>
          <w:tblCellMar>
            <w:top w:w="0" w:type="dxa"/>
            <w:left w:w="0" w:type="dxa"/>
            <w:bottom w:w="0" w:type="dxa"/>
            <w:right w:w="0" w:type="dxa"/>
          </w:tblCellMar>
        </w:tblPrEx>
        <w:trPr>
          <w:cantSplit/>
          <w:trHeight w:val="804" w:hRule="atLeast"/>
          <w:jc w:val="center"/>
        </w:trPr>
        <w:tc>
          <w:tcPr>
            <w:tcW w:w="1413" w:type="dxa"/>
            <w:tcBorders>
              <w:top w:val="nil"/>
              <w:left w:val="single" w:color="auto" w:sz="4" w:space="0"/>
              <w:bottom w:val="single" w:color="auto" w:sz="4" w:space="0"/>
              <w:right w:val="single" w:color="auto" w:sz="4" w:space="0"/>
            </w:tcBorders>
            <w:vAlign w:val="center"/>
          </w:tcPr>
          <w:p w14:paraId="611C21D1">
            <w:pPr>
              <w:spacing w:line="360" w:lineRule="auto"/>
              <w:jc w:val="center"/>
              <w:rPr>
                <w:rFonts w:ascii="宋体" w:hAnsi="宋体" w:eastAsia="宋体"/>
                <w:bCs/>
                <w:color w:val="auto"/>
                <w:sz w:val="22"/>
              </w:rPr>
            </w:pPr>
            <w:r>
              <w:rPr>
                <w:rFonts w:hint="eastAsia" w:ascii="宋体" w:hAnsi="宋体" w:eastAsia="宋体"/>
                <w:bCs/>
                <w:color w:val="auto"/>
                <w:sz w:val="22"/>
              </w:rPr>
              <w:t>流转用途</w:t>
            </w:r>
          </w:p>
        </w:tc>
        <w:tc>
          <w:tcPr>
            <w:tcW w:w="7907" w:type="dxa"/>
            <w:gridSpan w:val="12"/>
            <w:tcBorders>
              <w:top w:val="single" w:color="auto" w:sz="4" w:space="0"/>
              <w:left w:val="nil"/>
              <w:bottom w:val="single" w:color="auto" w:sz="4" w:space="0"/>
              <w:right w:val="single" w:color="auto" w:sz="4" w:space="0"/>
            </w:tcBorders>
            <w:vAlign w:val="center"/>
          </w:tcPr>
          <w:p w14:paraId="576A4402">
            <w:pPr>
              <w:spacing w:line="360" w:lineRule="auto"/>
              <w:rPr>
                <w:rFonts w:ascii="宋体" w:hAnsi="宋体" w:eastAsia="宋体"/>
                <w:color w:val="auto"/>
                <w:sz w:val="22"/>
              </w:rPr>
            </w:pPr>
            <w:r>
              <w:rPr>
                <w:rFonts w:ascii="宋体" w:hAnsi="宋体" w:eastAsia="宋体"/>
                <w:color w:val="auto"/>
                <w:sz w:val="22"/>
              </w:rPr>
              <w:t>□</w:t>
            </w:r>
            <w:r>
              <w:rPr>
                <w:rFonts w:hint="eastAsia" w:ascii="宋体" w:hAnsi="宋体" w:eastAsia="宋体"/>
                <w:color w:val="auto"/>
                <w:sz w:val="22"/>
              </w:rPr>
              <w:t>粮油生产</w:t>
            </w:r>
            <w:r>
              <w:rPr>
                <w:rFonts w:ascii="宋体" w:hAnsi="宋体" w:eastAsia="宋体"/>
                <w:color w:val="auto"/>
                <w:sz w:val="22"/>
              </w:rPr>
              <w:t xml:space="preserve">  □</w:t>
            </w:r>
            <w:r>
              <w:rPr>
                <w:rFonts w:hint="eastAsia" w:ascii="宋体" w:hAnsi="宋体" w:eastAsia="宋体"/>
                <w:color w:val="auto"/>
                <w:sz w:val="22"/>
              </w:rPr>
              <w:t>畜禽生产</w:t>
            </w:r>
            <w:r>
              <w:rPr>
                <w:rFonts w:ascii="宋体" w:hAnsi="宋体" w:eastAsia="宋体"/>
                <w:color w:val="auto"/>
                <w:sz w:val="22"/>
              </w:rPr>
              <w:t xml:space="preserve">  □</w:t>
            </w:r>
            <w:r>
              <w:rPr>
                <w:rFonts w:hint="eastAsia" w:ascii="宋体" w:hAnsi="宋体" w:eastAsia="宋体"/>
                <w:color w:val="auto"/>
                <w:sz w:val="22"/>
              </w:rPr>
              <w:t>花卉种植</w:t>
            </w:r>
            <w:r>
              <w:rPr>
                <w:rFonts w:ascii="宋体" w:hAnsi="宋体" w:eastAsia="宋体"/>
                <w:color w:val="auto"/>
                <w:sz w:val="22"/>
              </w:rPr>
              <w:t xml:space="preserve">  □</w:t>
            </w:r>
            <w:r>
              <w:rPr>
                <w:rFonts w:hint="eastAsia" w:ascii="宋体" w:hAnsi="宋体" w:eastAsia="宋体"/>
                <w:color w:val="auto"/>
                <w:sz w:val="22"/>
              </w:rPr>
              <w:t>果树种植</w:t>
            </w:r>
            <w:r>
              <w:rPr>
                <w:rFonts w:ascii="宋体" w:hAnsi="宋体" w:eastAsia="宋体"/>
                <w:color w:val="auto"/>
                <w:sz w:val="22"/>
              </w:rPr>
              <w:t xml:space="preserve">  □</w:t>
            </w:r>
            <w:r>
              <w:rPr>
                <w:rFonts w:hint="eastAsia" w:ascii="宋体" w:hAnsi="宋体" w:eastAsia="宋体"/>
                <w:color w:val="auto"/>
                <w:sz w:val="22"/>
              </w:rPr>
              <w:t>茶桑种植</w:t>
            </w:r>
            <w:r>
              <w:rPr>
                <w:rFonts w:ascii="宋体" w:hAnsi="宋体" w:eastAsia="宋体"/>
                <w:color w:val="auto"/>
                <w:sz w:val="22"/>
              </w:rPr>
              <w:t xml:space="preserve">  □</w:t>
            </w:r>
            <w:r>
              <w:rPr>
                <w:rFonts w:hint="eastAsia" w:ascii="宋体" w:hAnsi="宋体" w:eastAsia="宋体"/>
                <w:color w:val="auto"/>
                <w:sz w:val="22"/>
              </w:rPr>
              <w:t>水产养殖</w:t>
            </w:r>
            <w:r>
              <w:rPr>
                <w:rFonts w:ascii="宋体" w:hAnsi="宋体" w:eastAsia="宋体"/>
                <w:color w:val="auto"/>
                <w:sz w:val="22"/>
              </w:rPr>
              <w:t xml:space="preserve"> </w:t>
            </w:r>
          </w:p>
          <w:p w14:paraId="36E7494E">
            <w:pPr>
              <w:spacing w:line="360" w:lineRule="auto"/>
              <w:rPr>
                <w:rFonts w:ascii="宋体" w:hAnsi="宋体" w:eastAsia="宋体"/>
                <w:color w:val="auto"/>
                <w:sz w:val="22"/>
                <w:u w:val="single"/>
              </w:rPr>
            </w:pPr>
            <w:r>
              <w:rPr>
                <w:rFonts w:ascii="宋体" w:hAnsi="宋体" w:eastAsia="宋体"/>
                <w:color w:val="auto"/>
                <w:sz w:val="22"/>
              </w:rPr>
              <w:t>□</w:t>
            </w:r>
            <w:r>
              <w:rPr>
                <w:rFonts w:hint="eastAsia" w:ascii="宋体" w:hAnsi="宋体" w:eastAsia="宋体"/>
                <w:color w:val="auto"/>
                <w:sz w:val="22"/>
              </w:rPr>
              <w:t>林竹种植</w:t>
            </w:r>
            <w:r>
              <w:rPr>
                <w:rFonts w:ascii="宋体" w:hAnsi="宋体" w:eastAsia="宋体"/>
                <w:color w:val="auto"/>
                <w:sz w:val="22"/>
              </w:rPr>
              <w:t xml:space="preserve">  □</w:t>
            </w:r>
            <w:r>
              <w:rPr>
                <w:rFonts w:hint="eastAsia" w:ascii="宋体" w:hAnsi="宋体" w:eastAsia="宋体"/>
                <w:color w:val="auto"/>
                <w:sz w:val="22"/>
              </w:rPr>
              <w:t>中药材种植</w:t>
            </w:r>
            <w:r>
              <w:rPr>
                <w:rFonts w:ascii="宋体" w:hAnsi="宋体" w:eastAsia="宋体"/>
                <w:color w:val="auto"/>
                <w:sz w:val="22"/>
              </w:rPr>
              <w:t xml:space="preserve">  □</w:t>
            </w:r>
            <w:r>
              <w:rPr>
                <w:rFonts w:hint="eastAsia" w:ascii="宋体" w:hAnsi="宋体" w:eastAsia="宋体"/>
                <w:color w:val="auto"/>
                <w:sz w:val="22"/>
              </w:rPr>
              <w:t>休闲观光农业</w:t>
            </w:r>
            <w:r>
              <w:rPr>
                <w:rFonts w:ascii="宋体" w:hAnsi="宋体" w:eastAsia="宋体"/>
                <w:color w:val="auto"/>
                <w:sz w:val="22"/>
              </w:rPr>
              <w:t xml:space="preserve">  </w:t>
            </w:r>
            <w:r>
              <w:rPr>
                <w:rFonts w:hint="eastAsia" w:ascii="宋体" w:hAnsi="宋体" w:eastAsia="宋体"/>
                <w:color w:val="auto"/>
                <w:sz w:val="22"/>
                <w:lang w:eastAsia="zh-CN"/>
              </w:rPr>
              <w:t>□</w:t>
            </w:r>
            <w:r>
              <w:rPr>
                <w:rFonts w:hint="eastAsia" w:ascii="宋体" w:hAnsi="宋体" w:eastAsia="宋体"/>
                <w:color w:val="auto"/>
                <w:sz w:val="22"/>
              </w:rPr>
              <w:t>其他</w:t>
            </w:r>
            <w:r>
              <w:rPr>
                <w:rFonts w:ascii="宋体" w:hAnsi="宋体" w:eastAsia="宋体"/>
                <w:color w:val="auto"/>
                <w:sz w:val="22"/>
                <w:u w:val="single"/>
              </w:rPr>
              <w:t xml:space="preserve">      </w:t>
            </w:r>
            <w:r>
              <w:rPr>
                <w:rFonts w:hint="eastAsia" w:ascii="宋体" w:hAnsi="宋体"/>
                <w:color w:val="auto"/>
                <w:sz w:val="22"/>
                <w:u w:val="single"/>
              </w:rPr>
              <w:t xml:space="preserve">       </w:t>
            </w:r>
          </w:p>
        </w:tc>
      </w:tr>
      <w:tr w14:paraId="660F29F0">
        <w:tblPrEx>
          <w:tblCellMar>
            <w:top w:w="0" w:type="dxa"/>
            <w:left w:w="0" w:type="dxa"/>
            <w:bottom w:w="0" w:type="dxa"/>
            <w:right w:w="0" w:type="dxa"/>
          </w:tblCellMar>
        </w:tblPrEx>
        <w:trPr>
          <w:cantSplit/>
          <w:trHeight w:val="602" w:hRule="atLeast"/>
          <w:jc w:val="center"/>
        </w:trPr>
        <w:tc>
          <w:tcPr>
            <w:tcW w:w="1413" w:type="dxa"/>
            <w:tcBorders>
              <w:top w:val="nil"/>
              <w:left w:val="single" w:color="auto" w:sz="4" w:space="0"/>
              <w:bottom w:val="single" w:color="auto" w:sz="4" w:space="0"/>
              <w:right w:val="single" w:color="auto" w:sz="4" w:space="0"/>
            </w:tcBorders>
            <w:vAlign w:val="center"/>
          </w:tcPr>
          <w:p w14:paraId="7B8A1A44">
            <w:pPr>
              <w:spacing w:line="360" w:lineRule="auto"/>
              <w:jc w:val="center"/>
              <w:rPr>
                <w:rFonts w:ascii="宋体" w:hAnsi="宋体" w:eastAsia="宋体"/>
                <w:color w:val="auto"/>
                <w:sz w:val="22"/>
              </w:rPr>
            </w:pPr>
            <w:r>
              <w:rPr>
                <w:rFonts w:hint="eastAsia" w:ascii="宋体" w:hAnsi="宋体"/>
                <w:bCs/>
                <w:color w:val="auto"/>
                <w:sz w:val="22"/>
              </w:rPr>
              <w:t>承租（受让）</w:t>
            </w:r>
            <w:r>
              <w:rPr>
                <w:rFonts w:hint="eastAsia" w:ascii="宋体" w:hAnsi="宋体" w:eastAsia="宋体"/>
                <w:bCs/>
                <w:color w:val="auto"/>
                <w:sz w:val="22"/>
              </w:rPr>
              <w:t>意向描述</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529907FE">
            <w:pPr>
              <w:spacing w:line="360" w:lineRule="auto"/>
              <w:rPr>
                <w:rFonts w:hint="eastAsia" w:ascii="宋体" w:hAnsi="宋体" w:eastAsia="宋体"/>
                <w:color w:val="auto"/>
                <w:sz w:val="22"/>
                <w:lang w:val="en-US" w:eastAsia="zh-CN"/>
              </w:rPr>
            </w:pPr>
          </w:p>
        </w:tc>
      </w:tr>
      <w:tr w14:paraId="2B3F7ED8">
        <w:tblPrEx>
          <w:tblCellMar>
            <w:top w:w="0" w:type="dxa"/>
            <w:left w:w="0" w:type="dxa"/>
            <w:bottom w:w="0" w:type="dxa"/>
            <w:right w:w="0" w:type="dxa"/>
          </w:tblCellMar>
        </w:tblPrEx>
        <w:trPr>
          <w:cantSplit/>
          <w:trHeight w:val="232" w:hRule="atLeast"/>
          <w:jc w:val="center"/>
        </w:trPr>
        <w:tc>
          <w:tcPr>
            <w:tcW w:w="1413" w:type="dxa"/>
            <w:vMerge w:val="restart"/>
            <w:tcBorders>
              <w:top w:val="nil"/>
              <w:left w:val="single" w:color="auto" w:sz="4" w:space="0"/>
              <w:right w:val="single" w:color="auto" w:sz="4" w:space="0"/>
            </w:tcBorders>
            <w:vAlign w:val="center"/>
          </w:tcPr>
          <w:p w14:paraId="014B4AC4">
            <w:pPr>
              <w:spacing w:line="360" w:lineRule="auto"/>
              <w:jc w:val="center"/>
              <w:rPr>
                <w:rFonts w:ascii="宋体" w:hAnsi="宋体" w:eastAsia="宋体"/>
                <w:bCs/>
                <w:color w:val="auto"/>
                <w:sz w:val="22"/>
              </w:rPr>
            </w:pPr>
            <w:r>
              <w:rPr>
                <w:rFonts w:hint="eastAsia" w:ascii="宋体" w:hAnsi="宋体" w:eastAsia="宋体"/>
                <w:bCs/>
                <w:color w:val="auto"/>
                <w:sz w:val="22"/>
              </w:rPr>
              <w:t>附件</w:t>
            </w:r>
          </w:p>
          <w:p w14:paraId="7AFDF6A2">
            <w:pPr>
              <w:spacing w:line="360" w:lineRule="auto"/>
              <w:jc w:val="center"/>
              <w:rPr>
                <w:rFonts w:ascii="宋体" w:hAnsi="宋体" w:eastAsia="宋体"/>
                <w:bCs/>
                <w:color w:val="auto"/>
                <w:sz w:val="22"/>
              </w:rPr>
            </w:pPr>
            <w:r>
              <w:rPr>
                <w:rFonts w:hint="eastAsia" w:ascii="宋体" w:hAnsi="宋体" w:eastAsia="宋体"/>
                <w:bCs/>
                <w:color w:val="auto"/>
                <w:sz w:val="22"/>
              </w:rPr>
              <w:t>（附件是否齐全，如齐全，请在相应材料前划</w:t>
            </w:r>
            <w:r>
              <w:rPr>
                <w:rFonts w:ascii="宋体" w:hAnsi="宋体" w:eastAsia="宋体"/>
                <w:bCs/>
                <w:color w:val="auto"/>
                <w:sz w:val="22"/>
              </w:rPr>
              <w:t>√</w:t>
            </w:r>
            <w:r>
              <w:rPr>
                <w:rFonts w:hint="eastAsia" w:ascii="宋体" w:hAnsi="宋体" w:eastAsia="宋体"/>
                <w:bCs/>
                <w:color w:val="auto"/>
                <w:sz w:val="22"/>
              </w:rPr>
              <w:t>）</w:t>
            </w:r>
          </w:p>
        </w:tc>
        <w:tc>
          <w:tcPr>
            <w:tcW w:w="2693" w:type="dxa"/>
            <w:gridSpan w:val="3"/>
            <w:vMerge w:val="restart"/>
            <w:tcBorders>
              <w:top w:val="single" w:color="auto" w:sz="4" w:space="0"/>
              <w:left w:val="single" w:color="auto" w:sz="4" w:space="0"/>
              <w:right w:val="single" w:color="auto" w:sz="4" w:space="0"/>
            </w:tcBorders>
            <w:vAlign w:val="center"/>
          </w:tcPr>
          <w:p w14:paraId="437F5399">
            <w:pPr>
              <w:spacing w:line="360" w:lineRule="auto"/>
              <w:jc w:val="center"/>
              <w:rPr>
                <w:rFonts w:ascii="宋体" w:hAnsi="宋体" w:eastAsia="宋体"/>
                <w:bCs/>
                <w:color w:val="auto"/>
                <w:sz w:val="22"/>
              </w:rPr>
            </w:pPr>
            <w:r>
              <w:rPr>
                <w:rFonts w:hint="eastAsia" w:ascii="宋体" w:hAnsi="宋体" w:eastAsia="宋体"/>
                <w:bCs/>
                <w:color w:val="auto"/>
                <w:sz w:val="22"/>
              </w:rPr>
              <w:t>个人</w:t>
            </w: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40879C80">
            <w:pPr>
              <w:spacing w:line="360" w:lineRule="auto"/>
              <w:jc w:val="left"/>
              <w:rPr>
                <w:rFonts w:ascii="宋体" w:hAnsi="宋体" w:eastAsia="宋体"/>
                <w:bCs/>
                <w:color w:val="auto"/>
                <w:sz w:val="22"/>
              </w:rPr>
            </w:pPr>
            <w:r>
              <w:rPr>
                <w:rFonts w:hint="eastAsia" w:ascii="宋体" w:hAnsi="宋体" w:eastAsia="宋体"/>
                <w:color w:val="auto"/>
                <w:sz w:val="22"/>
                <w:lang w:eastAsia="zh-CN"/>
              </w:rPr>
              <w:t>□</w:t>
            </w:r>
            <w:r>
              <w:rPr>
                <w:rFonts w:hint="eastAsia" w:ascii="宋体" w:hAnsi="宋体" w:eastAsia="宋体"/>
                <w:bCs/>
                <w:color w:val="auto"/>
                <w:sz w:val="22"/>
              </w:rPr>
              <w:t>自然人身份证复印件</w:t>
            </w:r>
          </w:p>
        </w:tc>
      </w:tr>
      <w:tr w14:paraId="2D7F0DF7">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079A350E">
            <w:pPr>
              <w:spacing w:line="360" w:lineRule="auto"/>
              <w:jc w:val="center"/>
              <w:rPr>
                <w:rFonts w:ascii="宋体" w:hAnsi="宋体" w:eastAsia="宋体"/>
                <w:color w:val="auto"/>
                <w:sz w:val="22"/>
              </w:rPr>
            </w:pPr>
          </w:p>
        </w:tc>
        <w:tc>
          <w:tcPr>
            <w:tcW w:w="2693" w:type="dxa"/>
            <w:gridSpan w:val="3"/>
            <w:vMerge w:val="continue"/>
            <w:tcBorders>
              <w:left w:val="single" w:color="auto" w:sz="4" w:space="0"/>
              <w:right w:val="single" w:color="auto" w:sz="4" w:space="0"/>
            </w:tcBorders>
            <w:vAlign w:val="center"/>
          </w:tcPr>
          <w:p w14:paraId="5FF7DC65">
            <w:pPr>
              <w:spacing w:line="360" w:lineRule="auto"/>
              <w:jc w:val="center"/>
              <w:rPr>
                <w:rFonts w:ascii="宋体" w:hAnsi="宋体" w:eastAsia="宋体"/>
                <w:color w:val="auto"/>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4AA69D8F">
            <w:pPr>
              <w:spacing w:line="360" w:lineRule="auto"/>
              <w:jc w:val="left"/>
              <w:rPr>
                <w:rFonts w:ascii="宋体" w:hAnsi="宋体" w:eastAsia="宋体"/>
                <w:bCs/>
                <w:color w:val="auto"/>
                <w:sz w:val="22"/>
              </w:rPr>
            </w:pPr>
            <w:r>
              <w:rPr>
                <w:rFonts w:hint="eastAsia" w:ascii="宋体" w:hAnsi="宋体" w:eastAsia="宋体"/>
                <w:color w:val="auto"/>
                <w:sz w:val="22"/>
                <w:lang w:eastAsia="zh-CN"/>
              </w:rPr>
              <w:t>□</w:t>
            </w:r>
            <w:r>
              <w:rPr>
                <w:rFonts w:hint="eastAsia" w:ascii="宋体" w:hAnsi="宋体" w:eastAsia="宋体"/>
                <w:bCs/>
                <w:color w:val="auto"/>
                <w:sz w:val="22"/>
              </w:rPr>
              <w:t>经办人授权委托书原件</w:t>
            </w:r>
          </w:p>
        </w:tc>
      </w:tr>
      <w:tr w14:paraId="3DD2F56B">
        <w:tblPrEx>
          <w:tblCellMar>
            <w:top w:w="0" w:type="dxa"/>
            <w:left w:w="0" w:type="dxa"/>
            <w:bottom w:w="0" w:type="dxa"/>
            <w:right w:w="0" w:type="dxa"/>
          </w:tblCellMar>
        </w:tblPrEx>
        <w:trPr>
          <w:cantSplit/>
          <w:trHeight w:val="490" w:hRule="atLeast"/>
          <w:jc w:val="center"/>
        </w:trPr>
        <w:tc>
          <w:tcPr>
            <w:tcW w:w="1413" w:type="dxa"/>
            <w:vMerge w:val="continue"/>
            <w:tcBorders>
              <w:left w:val="single" w:color="auto" w:sz="4" w:space="0"/>
              <w:right w:val="single" w:color="auto" w:sz="4" w:space="0"/>
            </w:tcBorders>
            <w:vAlign w:val="center"/>
          </w:tcPr>
          <w:p w14:paraId="407F2B85">
            <w:pPr>
              <w:spacing w:line="360" w:lineRule="auto"/>
              <w:jc w:val="center"/>
              <w:rPr>
                <w:rFonts w:ascii="宋体" w:hAnsi="宋体" w:eastAsia="宋体"/>
                <w:bCs/>
                <w:color w:val="auto"/>
                <w:sz w:val="22"/>
              </w:rPr>
            </w:pPr>
          </w:p>
        </w:tc>
        <w:tc>
          <w:tcPr>
            <w:tcW w:w="2693" w:type="dxa"/>
            <w:gridSpan w:val="3"/>
            <w:vMerge w:val="continue"/>
            <w:tcBorders>
              <w:left w:val="single" w:color="auto" w:sz="4" w:space="0"/>
              <w:right w:val="single" w:color="auto" w:sz="4" w:space="0"/>
            </w:tcBorders>
            <w:vAlign w:val="center"/>
          </w:tcPr>
          <w:p w14:paraId="73CE6652">
            <w:pPr>
              <w:spacing w:line="360" w:lineRule="auto"/>
              <w:jc w:val="center"/>
              <w:rPr>
                <w:rFonts w:ascii="宋体" w:hAnsi="宋体" w:eastAsia="宋体"/>
                <w:bCs/>
                <w:color w:val="auto"/>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4C5D0A52">
            <w:pPr>
              <w:spacing w:line="360" w:lineRule="auto"/>
              <w:jc w:val="left"/>
              <w:rPr>
                <w:rFonts w:ascii="宋体" w:hAnsi="宋体" w:eastAsia="宋体"/>
                <w:bCs/>
                <w:color w:val="auto"/>
                <w:sz w:val="22"/>
              </w:rPr>
            </w:pPr>
            <w:r>
              <w:rPr>
                <w:rFonts w:hint="eastAsia" w:ascii="宋体" w:hAnsi="宋体" w:eastAsia="宋体"/>
                <w:color w:val="auto"/>
                <w:sz w:val="22"/>
                <w:lang w:eastAsia="zh-CN"/>
              </w:rPr>
              <w:t>□</w:t>
            </w:r>
            <w:r>
              <w:rPr>
                <w:rFonts w:hint="eastAsia" w:ascii="宋体" w:hAnsi="宋体" w:eastAsia="宋体"/>
                <w:bCs/>
                <w:color w:val="auto"/>
                <w:sz w:val="22"/>
              </w:rPr>
              <w:t>项目网络竞价须知</w:t>
            </w:r>
          </w:p>
        </w:tc>
        <w:tc>
          <w:tcPr>
            <w:tcW w:w="1710" w:type="dxa"/>
            <w:gridSpan w:val="2"/>
            <w:vMerge w:val="restart"/>
            <w:tcBorders>
              <w:top w:val="single" w:color="auto" w:sz="4" w:space="0"/>
              <w:left w:val="single" w:color="auto" w:sz="4" w:space="0"/>
              <w:right w:val="single" w:color="auto" w:sz="4" w:space="0"/>
            </w:tcBorders>
            <w:vAlign w:val="center"/>
          </w:tcPr>
          <w:p w14:paraId="78AD47AD">
            <w:pPr>
              <w:spacing w:line="360" w:lineRule="auto"/>
              <w:jc w:val="center"/>
              <w:rPr>
                <w:rFonts w:ascii="宋体" w:hAnsi="宋体" w:eastAsia="宋体"/>
                <w:color w:val="auto"/>
                <w:sz w:val="22"/>
              </w:rPr>
            </w:pPr>
            <w:r>
              <w:rPr>
                <w:rFonts w:hint="eastAsia" w:ascii="宋体" w:hAnsi="宋体" w:eastAsia="宋体"/>
                <w:color w:val="auto"/>
                <w:sz w:val="22"/>
              </w:rPr>
              <w:t>成交方式为网络竞价时须提供</w:t>
            </w:r>
          </w:p>
        </w:tc>
      </w:tr>
      <w:tr w14:paraId="725A59C2">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32C92AD1">
            <w:pPr>
              <w:spacing w:line="360" w:lineRule="auto"/>
              <w:jc w:val="center"/>
              <w:rPr>
                <w:rFonts w:ascii="宋体" w:hAnsi="宋体" w:eastAsia="宋体"/>
                <w:bCs/>
                <w:color w:val="auto"/>
                <w:sz w:val="22"/>
              </w:rPr>
            </w:pPr>
          </w:p>
        </w:tc>
        <w:tc>
          <w:tcPr>
            <w:tcW w:w="2693" w:type="dxa"/>
            <w:gridSpan w:val="3"/>
            <w:vMerge w:val="continue"/>
            <w:tcBorders>
              <w:left w:val="single" w:color="auto" w:sz="4" w:space="0"/>
              <w:right w:val="single" w:color="auto" w:sz="4" w:space="0"/>
            </w:tcBorders>
            <w:vAlign w:val="center"/>
          </w:tcPr>
          <w:p w14:paraId="1E135BA0">
            <w:pPr>
              <w:spacing w:line="360" w:lineRule="auto"/>
              <w:jc w:val="center"/>
              <w:rPr>
                <w:rFonts w:ascii="宋体" w:hAnsi="宋体" w:eastAsia="宋体"/>
                <w:bCs/>
                <w:color w:val="auto"/>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63CDA42D">
            <w:pPr>
              <w:spacing w:line="360" w:lineRule="auto"/>
              <w:jc w:val="left"/>
              <w:rPr>
                <w:rFonts w:ascii="宋体" w:hAnsi="宋体" w:eastAsia="宋体"/>
                <w:bCs/>
                <w:color w:val="auto"/>
                <w:sz w:val="22"/>
              </w:rPr>
            </w:pPr>
            <w:r>
              <w:rPr>
                <w:rFonts w:hint="eastAsia" w:ascii="宋体" w:hAnsi="宋体" w:eastAsia="宋体"/>
                <w:color w:val="auto"/>
                <w:sz w:val="22"/>
                <w:lang w:eastAsia="zh-CN"/>
              </w:rPr>
              <w:t>□</w:t>
            </w:r>
            <w:r>
              <w:rPr>
                <w:rFonts w:hint="eastAsia" w:ascii="宋体" w:hAnsi="宋体" w:eastAsia="宋体"/>
                <w:bCs/>
                <w:color w:val="auto"/>
                <w:sz w:val="22"/>
              </w:rPr>
              <w:t>网络竞价项目承诺函</w:t>
            </w:r>
          </w:p>
        </w:tc>
        <w:tc>
          <w:tcPr>
            <w:tcW w:w="1710" w:type="dxa"/>
            <w:gridSpan w:val="2"/>
            <w:vMerge w:val="continue"/>
            <w:tcBorders>
              <w:left w:val="single" w:color="auto" w:sz="4" w:space="0"/>
              <w:right w:val="single" w:color="auto" w:sz="4" w:space="0"/>
            </w:tcBorders>
            <w:vAlign w:val="center"/>
          </w:tcPr>
          <w:p w14:paraId="0DA61CB9">
            <w:pPr>
              <w:spacing w:line="360" w:lineRule="auto"/>
              <w:jc w:val="left"/>
              <w:rPr>
                <w:rFonts w:ascii="宋体" w:hAnsi="宋体" w:eastAsia="宋体"/>
                <w:color w:val="auto"/>
                <w:sz w:val="22"/>
              </w:rPr>
            </w:pPr>
          </w:p>
        </w:tc>
      </w:tr>
      <w:tr w14:paraId="14039FF1">
        <w:tblPrEx>
          <w:tblCellMar>
            <w:top w:w="0" w:type="dxa"/>
            <w:left w:w="0" w:type="dxa"/>
            <w:bottom w:w="0" w:type="dxa"/>
            <w:right w:w="0" w:type="dxa"/>
          </w:tblCellMar>
        </w:tblPrEx>
        <w:trPr>
          <w:cantSplit/>
          <w:trHeight w:val="70" w:hRule="atLeast"/>
          <w:jc w:val="center"/>
        </w:trPr>
        <w:tc>
          <w:tcPr>
            <w:tcW w:w="1413" w:type="dxa"/>
            <w:vMerge w:val="continue"/>
            <w:tcBorders>
              <w:left w:val="single" w:color="auto" w:sz="4" w:space="0"/>
              <w:right w:val="single" w:color="auto" w:sz="4" w:space="0"/>
            </w:tcBorders>
            <w:vAlign w:val="center"/>
          </w:tcPr>
          <w:p w14:paraId="3924D81D">
            <w:pPr>
              <w:spacing w:line="360" w:lineRule="auto"/>
              <w:jc w:val="center"/>
              <w:rPr>
                <w:rFonts w:ascii="宋体" w:hAnsi="宋体" w:eastAsia="宋体"/>
                <w:bCs/>
                <w:color w:val="auto"/>
                <w:sz w:val="22"/>
              </w:rPr>
            </w:pPr>
          </w:p>
        </w:tc>
        <w:tc>
          <w:tcPr>
            <w:tcW w:w="2693" w:type="dxa"/>
            <w:gridSpan w:val="3"/>
            <w:vMerge w:val="continue"/>
            <w:tcBorders>
              <w:left w:val="single" w:color="auto" w:sz="4" w:space="0"/>
              <w:bottom w:val="single" w:color="auto" w:sz="4" w:space="0"/>
              <w:right w:val="single" w:color="auto" w:sz="4" w:space="0"/>
            </w:tcBorders>
            <w:vAlign w:val="center"/>
          </w:tcPr>
          <w:p w14:paraId="5CB23923">
            <w:pPr>
              <w:spacing w:line="360" w:lineRule="auto"/>
              <w:jc w:val="center"/>
              <w:rPr>
                <w:rFonts w:ascii="宋体" w:hAnsi="宋体" w:eastAsia="宋体"/>
                <w:bCs/>
                <w:color w:val="auto"/>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7DACA2AD">
            <w:pPr>
              <w:spacing w:line="360" w:lineRule="auto"/>
              <w:jc w:val="left"/>
              <w:rPr>
                <w:rFonts w:ascii="宋体" w:hAnsi="宋体" w:eastAsia="宋体"/>
                <w:color w:val="auto"/>
                <w:sz w:val="22"/>
              </w:rPr>
            </w:pPr>
            <w:r>
              <w:rPr>
                <w:rFonts w:hint="eastAsia" w:ascii="宋体" w:hAnsi="宋体" w:eastAsia="宋体"/>
                <w:color w:val="auto"/>
                <w:sz w:val="22"/>
                <w:lang w:eastAsia="zh-CN"/>
              </w:rPr>
              <w:t>□</w:t>
            </w:r>
            <w:r>
              <w:rPr>
                <w:rFonts w:hint="eastAsia" w:ascii="宋体" w:hAnsi="宋体" w:eastAsia="宋体"/>
                <w:color w:val="auto"/>
                <w:sz w:val="22"/>
              </w:rPr>
              <w:t>打款证明</w:t>
            </w:r>
            <w:bookmarkStart w:id="34" w:name="OLE_LINK12"/>
            <w:r>
              <w:rPr>
                <w:rFonts w:hint="eastAsia" w:ascii="宋体" w:hAnsi="宋体" w:eastAsia="宋体"/>
                <w:color w:val="auto"/>
                <w:sz w:val="22"/>
              </w:rPr>
              <w:t>（备注项目编号）</w:t>
            </w:r>
            <w:bookmarkEnd w:id="34"/>
          </w:p>
        </w:tc>
        <w:tc>
          <w:tcPr>
            <w:tcW w:w="1710" w:type="dxa"/>
            <w:gridSpan w:val="2"/>
            <w:vMerge w:val="continue"/>
            <w:tcBorders>
              <w:left w:val="single" w:color="auto" w:sz="4" w:space="0"/>
              <w:bottom w:val="single" w:color="auto" w:sz="4" w:space="0"/>
              <w:right w:val="single" w:color="auto" w:sz="4" w:space="0"/>
            </w:tcBorders>
            <w:vAlign w:val="center"/>
          </w:tcPr>
          <w:p w14:paraId="1DFDD031">
            <w:pPr>
              <w:spacing w:line="360" w:lineRule="auto"/>
              <w:jc w:val="left"/>
              <w:rPr>
                <w:rFonts w:ascii="宋体" w:hAnsi="宋体" w:eastAsia="宋体"/>
                <w:color w:val="auto"/>
                <w:sz w:val="22"/>
              </w:rPr>
            </w:pPr>
          </w:p>
        </w:tc>
      </w:tr>
      <w:tr w14:paraId="1E4678E7">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2AECF59F">
            <w:pPr>
              <w:spacing w:line="360" w:lineRule="auto"/>
              <w:jc w:val="center"/>
              <w:rPr>
                <w:rFonts w:ascii="宋体" w:hAnsi="宋体" w:eastAsia="宋体"/>
                <w:color w:val="auto"/>
                <w:sz w:val="22"/>
              </w:rPr>
            </w:pPr>
          </w:p>
        </w:tc>
        <w:tc>
          <w:tcPr>
            <w:tcW w:w="2693" w:type="dxa"/>
            <w:gridSpan w:val="3"/>
            <w:vMerge w:val="restart"/>
            <w:tcBorders>
              <w:top w:val="single" w:color="auto" w:sz="4" w:space="0"/>
              <w:left w:val="single" w:color="auto" w:sz="4" w:space="0"/>
              <w:right w:val="single" w:color="auto" w:sz="4" w:space="0"/>
            </w:tcBorders>
            <w:vAlign w:val="center"/>
          </w:tcPr>
          <w:p w14:paraId="68F22406">
            <w:pPr>
              <w:spacing w:line="360" w:lineRule="auto"/>
              <w:jc w:val="center"/>
              <w:rPr>
                <w:rFonts w:ascii="宋体" w:hAnsi="宋体" w:eastAsia="宋体"/>
                <w:bCs/>
                <w:color w:val="auto"/>
                <w:sz w:val="22"/>
              </w:rPr>
            </w:pPr>
            <w:r>
              <w:rPr>
                <w:rFonts w:hint="eastAsia" w:ascii="宋体" w:hAnsi="宋体" w:eastAsia="宋体"/>
                <w:bCs/>
                <w:color w:val="auto"/>
                <w:sz w:val="22"/>
              </w:rPr>
              <w:t>法人单位</w:t>
            </w:r>
          </w:p>
          <w:p w14:paraId="4D5E19A7">
            <w:pPr>
              <w:spacing w:line="360" w:lineRule="auto"/>
              <w:jc w:val="center"/>
              <w:rPr>
                <w:rFonts w:ascii="宋体" w:hAnsi="宋体" w:eastAsia="宋体"/>
                <w:bCs/>
                <w:color w:val="auto"/>
                <w:sz w:val="22"/>
              </w:rPr>
            </w:pPr>
            <w:r>
              <w:rPr>
                <w:rFonts w:hint="eastAsia" w:ascii="宋体" w:hAnsi="宋体" w:eastAsia="宋体"/>
                <w:bCs/>
                <w:color w:val="auto"/>
                <w:sz w:val="22"/>
              </w:rPr>
              <w:t>（如农业企业，</w:t>
            </w:r>
          </w:p>
          <w:p w14:paraId="0B1FD520">
            <w:pPr>
              <w:spacing w:line="360" w:lineRule="auto"/>
              <w:jc w:val="center"/>
              <w:rPr>
                <w:rFonts w:ascii="宋体" w:hAnsi="宋体" w:eastAsia="宋体"/>
                <w:bCs/>
                <w:color w:val="auto"/>
                <w:sz w:val="22"/>
              </w:rPr>
            </w:pPr>
            <w:r>
              <w:rPr>
                <w:rFonts w:hint="eastAsia" w:ascii="宋体" w:hAnsi="宋体" w:eastAsia="宋体"/>
                <w:bCs/>
                <w:color w:val="auto"/>
                <w:sz w:val="22"/>
              </w:rPr>
              <w:t>农民专业合作社）</w:t>
            </w: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4883F681">
            <w:pPr>
              <w:spacing w:line="360" w:lineRule="auto"/>
              <w:jc w:val="left"/>
              <w:rPr>
                <w:rFonts w:ascii="宋体" w:hAnsi="宋体" w:eastAsia="宋体"/>
                <w:bCs/>
                <w:color w:val="auto"/>
                <w:sz w:val="22"/>
              </w:rPr>
            </w:pPr>
            <w:r>
              <w:rPr>
                <w:rFonts w:ascii="宋体" w:hAnsi="宋体" w:eastAsia="宋体"/>
                <w:color w:val="auto"/>
                <w:sz w:val="22"/>
              </w:rPr>
              <w:t>□</w:t>
            </w:r>
            <w:r>
              <w:rPr>
                <w:rFonts w:hint="eastAsia" w:ascii="宋体" w:hAnsi="宋体" w:eastAsia="宋体"/>
                <w:color w:val="auto"/>
                <w:sz w:val="22"/>
              </w:rPr>
              <w:t>营业执照副本复印件（盖章，注明与原件一致）</w:t>
            </w:r>
          </w:p>
        </w:tc>
      </w:tr>
      <w:tr w14:paraId="5CEA1AE2">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0668B69B">
            <w:pPr>
              <w:spacing w:line="360" w:lineRule="auto"/>
              <w:jc w:val="center"/>
              <w:rPr>
                <w:rFonts w:ascii="宋体" w:hAnsi="宋体" w:eastAsia="宋体"/>
                <w:color w:val="auto"/>
                <w:sz w:val="22"/>
              </w:rPr>
            </w:pPr>
          </w:p>
        </w:tc>
        <w:tc>
          <w:tcPr>
            <w:tcW w:w="2693" w:type="dxa"/>
            <w:gridSpan w:val="3"/>
            <w:vMerge w:val="continue"/>
            <w:tcBorders>
              <w:left w:val="single" w:color="auto" w:sz="4" w:space="0"/>
              <w:right w:val="single" w:color="auto" w:sz="4" w:space="0"/>
            </w:tcBorders>
            <w:vAlign w:val="center"/>
          </w:tcPr>
          <w:p w14:paraId="00300C30">
            <w:pPr>
              <w:spacing w:line="360" w:lineRule="auto"/>
              <w:jc w:val="center"/>
              <w:rPr>
                <w:rFonts w:ascii="宋体" w:hAnsi="宋体" w:eastAsia="宋体"/>
                <w:color w:val="auto"/>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74428247">
            <w:pPr>
              <w:spacing w:line="360" w:lineRule="auto"/>
              <w:jc w:val="left"/>
              <w:rPr>
                <w:rFonts w:ascii="宋体" w:hAnsi="宋体" w:eastAsia="宋体"/>
                <w:bCs/>
                <w:color w:val="auto"/>
                <w:sz w:val="22"/>
              </w:rPr>
            </w:pPr>
            <w:r>
              <w:rPr>
                <w:rFonts w:ascii="宋体" w:hAnsi="宋体" w:eastAsia="宋体"/>
                <w:color w:val="auto"/>
                <w:sz w:val="22"/>
              </w:rPr>
              <w:t>□</w:t>
            </w:r>
            <w:r>
              <w:rPr>
                <w:rFonts w:hint="eastAsia" w:ascii="宋体" w:hAnsi="宋体" w:eastAsia="宋体"/>
                <w:color w:val="auto"/>
                <w:sz w:val="22"/>
              </w:rPr>
              <w:t>机构代码证复印件（盖章，注明与原件一致）</w:t>
            </w:r>
          </w:p>
        </w:tc>
      </w:tr>
      <w:tr w14:paraId="3F452D56">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252E7080">
            <w:pPr>
              <w:spacing w:line="360" w:lineRule="auto"/>
              <w:jc w:val="center"/>
              <w:rPr>
                <w:rFonts w:ascii="宋体" w:hAnsi="宋体" w:eastAsia="宋体"/>
                <w:bCs/>
                <w:color w:val="auto"/>
                <w:sz w:val="22"/>
              </w:rPr>
            </w:pPr>
          </w:p>
        </w:tc>
        <w:tc>
          <w:tcPr>
            <w:tcW w:w="2693" w:type="dxa"/>
            <w:gridSpan w:val="3"/>
            <w:vMerge w:val="continue"/>
            <w:tcBorders>
              <w:left w:val="single" w:color="auto" w:sz="4" w:space="0"/>
              <w:right w:val="single" w:color="auto" w:sz="4" w:space="0"/>
            </w:tcBorders>
            <w:vAlign w:val="center"/>
          </w:tcPr>
          <w:p w14:paraId="46EB1089">
            <w:pPr>
              <w:spacing w:line="360" w:lineRule="auto"/>
              <w:jc w:val="center"/>
              <w:rPr>
                <w:rFonts w:ascii="宋体" w:hAnsi="宋体" w:eastAsia="宋体"/>
                <w:bCs/>
                <w:color w:val="auto"/>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07725276">
            <w:pPr>
              <w:spacing w:line="360" w:lineRule="auto"/>
              <w:jc w:val="left"/>
              <w:rPr>
                <w:rFonts w:ascii="宋体" w:hAnsi="宋体" w:eastAsia="宋体"/>
                <w:bCs/>
                <w:color w:val="auto"/>
                <w:sz w:val="22"/>
              </w:rPr>
            </w:pPr>
            <w:r>
              <w:rPr>
                <w:rFonts w:ascii="宋体" w:hAnsi="宋体" w:eastAsia="宋体"/>
                <w:color w:val="auto"/>
                <w:sz w:val="22"/>
              </w:rPr>
              <w:t>□</w:t>
            </w:r>
            <w:r>
              <w:rPr>
                <w:rFonts w:hint="eastAsia" w:ascii="宋体" w:hAnsi="宋体" w:eastAsia="宋体"/>
                <w:color w:val="auto"/>
                <w:sz w:val="22"/>
              </w:rPr>
              <w:t>法定代表人身份证复印件</w:t>
            </w:r>
          </w:p>
        </w:tc>
      </w:tr>
      <w:tr w14:paraId="0817A991">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3E93E732">
            <w:pPr>
              <w:spacing w:line="360" w:lineRule="auto"/>
              <w:jc w:val="center"/>
              <w:rPr>
                <w:rFonts w:ascii="宋体" w:hAnsi="宋体" w:eastAsia="宋体"/>
                <w:bCs/>
                <w:color w:val="auto"/>
                <w:sz w:val="22"/>
              </w:rPr>
            </w:pPr>
          </w:p>
        </w:tc>
        <w:tc>
          <w:tcPr>
            <w:tcW w:w="2693" w:type="dxa"/>
            <w:gridSpan w:val="3"/>
            <w:vMerge w:val="continue"/>
            <w:tcBorders>
              <w:left w:val="single" w:color="auto" w:sz="4" w:space="0"/>
              <w:right w:val="single" w:color="auto" w:sz="4" w:space="0"/>
            </w:tcBorders>
            <w:vAlign w:val="center"/>
          </w:tcPr>
          <w:p w14:paraId="26C99D61">
            <w:pPr>
              <w:spacing w:line="360" w:lineRule="auto"/>
              <w:jc w:val="center"/>
              <w:rPr>
                <w:rFonts w:ascii="宋体" w:hAnsi="宋体" w:eastAsia="宋体"/>
                <w:bCs/>
                <w:color w:val="auto"/>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2963B8A2">
            <w:pPr>
              <w:spacing w:line="360" w:lineRule="auto"/>
              <w:jc w:val="left"/>
              <w:rPr>
                <w:rFonts w:ascii="宋体" w:hAnsi="宋体" w:eastAsia="宋体"/>
                <w:bCs/>
                <w:color w:val="auto"/>
                <w:sz w:val="22"/>
              </w:rPr>
            </w:pPr>
            <w:r>
              <w:rPr>
                <w:rFonts w:ascii="宋体" w:hAnsi="宋体" w:eastAsia="宋体"/>
                <w:color w:val="auto"/>
                <w:sz w:val="22"/>
              </w:rPr>
              <w:t>□</w:t>
            </w:r>
            <w:r>
              <w:rPr>
                <w:rFonts w:hint="eastAsia" w:ascii="宋体" w:hAnsi="宋体" w:eastAsia="宋体"/>
                <w:color w:val="auto"/>
                <w:sz w:val="22"/>
              </w:rPr>
              <w:t>经办人授权委托书原件（由法人单位出具）</w:t>
            </w:r>
          </w:p>
        </w:tc>
      </w:tr>
      <w:tr w14:paraId="7175AACA">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12D278F5">
            <w:pPr>
              <w:spacing w:line="360" w:lineRule="auto"/>
              <w:jc w:val="center"/>
              <w:rPr>
                <w:rFonts w:ascii="宋体" w:hAnsi="宋体" w:eastAsia="宋体"/>
                <w:bCs/>
                <w:color w:val="auto"/>
                <w:sz w:val="22"/>
              </w:rPr>
            </w:pPr>
          </w:p>
        </w:tc>
        <w:tc>
          <w:tcPr>
            <w:tcW w:w="2693" w:type="dxa"/>
            <w:gridSpan w:val="3"/>
            <w:vMerge w:val="continue"/>
            <w:tcBorders>
              <w:left w:val="single" w:color="auto" w:sz="4" w:space="0"/>
              <w:right w:val="single" w:color="auto" w:sz="4" w:space="0"/>
            </w:tcBorders>
            <w:vAlign w:val="center"/>
          </w:tcPr>
          <w:p w14:paraId="6F34812F">
            <w:pPr>
              <w:spacing w:line="360" w:lineRule="auto"/>
              <w:jc w:val="center"/>
              <w:rPr>
                <w:rFonts w:ascii="宋体" w:hAnsi="宋体" w:eastAsia="宋体"/>
                <w:bCs/>
                <w:color w:val="auto"/>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58BFBF80">
            <w:pPr>
              <w:spacing w:line="360" w:lineRule="auto"/>
              <w:jc w:val="left"/>
              <w:rPr>
                <w:rFonts w:ascii="宋体" w:hAnsi="宋体" w:eastAsia="宋体"/>
                <w:bCs/>
                <w:color w:val="auto"/>
                <w:sz w:val="22"/>
              </w:rPr>
            </w:pPr>
            <w:r>
              <w:rPr>
                <w:rFonts w:ascii="宋体" w:hAnsi="宋体" w:eastAsia="宋体"/>
                <w:color w:val="auto"/>
                <w:sz w:val="22"/>
              </w:rPr>
              <w:t>□</w:t>
            </w:r>
            <w:r>
              <w:rPr>
                <w:rFonts w:hint="eastAsia" w:ascii="宋体" w:hAnsi="宋体" w:eastAsia="宋体"/>
                <w:color w:val="auto"/>
                <w:sz w:val="22"/>
              </w:rPr>
              <w:t>合作社章程</w:t>
            </w:r>
            <w:r>
              <w:rPr>
                <w:rFonts w:ascii="宋体" w:hAnsi="宋体" w:eastAsia="宋体"/>
                <w:color w:val="auto"/>
                <w:sz w:val="22"/>
              </w:rPr>
              <w:t>/</w:t>
            </w:r>
            <w:r>
              <w:rPr>
                <w:rFonts w:hint="eastAsia" w:ascii="宋体" w:hAnsi="宋体" w:eastAsia="宋体"/>
                <w:color w:val="auto"/>
                <w:sz w:val="22"/>
              </w:rPr>
              <w:t>公司章程（封面盖章，骑缝盖章）</w:t>
            </w:r>
          </w:p>
        </w:tc>
      </w:tr>
      <w:tr w14:paraId="3DFEBDC0">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37F8AC67">
            <w:pPr>
              <w:spacing w:line="360" w:lineRule="auto"/>
              <w:jc w:val="center"/>
              <w:rPr>
                <w:rFonts w:ascii="宋体" w:hAnsi="宋体" w:eastAsia="宋体"/>
                <w:bCs/>
                <w:color w:val="auto"/>
                <w:sz w:val="22"/>
              </w:rPr>
            </w:pPr>
          </w:p>
        </w:tc>
        <w:tc>
          <w:tcPr>
            <w:tcW w:w="2693" w:type="dxa"/>
            <w:gridSpan w:val="3"/>
            <w:vMerge w:val="continue"/>
            <w:tcBorders>
              <w:left w:val="single" w:color="auto" w:sz="4" w:space="0"/>
              <w:right w:val="single" w:color="auto" w:sz="4" w:space="0"/>
            </w:tcBorders>
            <w:vAlign w:val="center"/>
          </w:tcPr>
          <w:p w14:paraId="4788A170">
            <w:pPr>
              <w:spacing w:line="360" w:lineRule="auto"/>
              <w:jc w:val="center"/>
              <w:rPr>
                <w:rFonts w:ascii="宋体" w:hAnsi="宋体" w:eastAsia="宋体"/>
                <w:bCs/>
                <w:color w:val="auto"/>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1348BC65">
            <w:pPr>
              <w:spacing w:line="360" w:lineRule="auto"/>
              <w:jc w:val="left"/>
              <w:rPr>
                <w:rFonts w:ascii="宋体" w:hAnsi="宋体" w:eastAsia="宋体"/>
                <w:bCs/>
                <w:color w:val="auto"/>
                <w:sz w:val="22"/>
              </w:rPr>
            </w:pPr>
            <w:r>
              <w:rPr>
                <w:rFonts w:ascii="宋体" w:hAnsi="宋体" w:eastAsia="宋体"/>
                <w:color w:val="auto"/>
                <w:sz w:val="22"/>
              </w:rPr>
              <w:t>□</w:t>
            </w:r>
            <w:r>
              <w:rPr>
                <w:rFonts w:hint="eastAsia" w:ascii="宋体" w:hAnsi="宋体" w:eastAsia="宋体"/>
                <w:color w:val="auto"/>
                <w:sz w:val="22"/>
              </w:rPr>
              <w:t>合作社成员大会决议</w:t>
            </w:r>
            <w:r>
              <w:rPr>
                <w:rFonts w:ascii="宋体" w:hAnsi="宋体" w:eastAsia="宋体"/>
                <w:color w:val="auto"/>
                <w:sz w:val="22"/>
              </w:rPr>
              <w:t>/</w:t>
            </w:r>
            <w:r>
              <w:rPr>
                <w:rFonts w:hint="eastAsia" w:ascii="宋体" w:hAnsi="宋体" w:eastAsia="宋体"/>
                <w:color w:val="auto"/>
                <w:sz w:val="22"/>
              </w:rPr>
              <w:t>股东会决议</w:t>
            </w:r>
            <w:r>
              <w:rPr>
                <w:rFonts w:ascii="宋体" w:hAnsi="宋体" w:eastAsia="宋体"/>
                <w:color w:val="auto"/>
                <w:sz w:val="22"/>
              </w:rPr>
              <w:t>/</w:t>
            </w:r>
            <w:r>
              <w:rPr>
                <w:rFonts w:hint="eastAsia" w:ascii="宋体" w:hAnsi="宋体" w:eastAsia="宋体"/>
                <w:color w:val="auto"/>
                <w:sz w:val="22"/>
              </w:rPr>
              <w:t>董事会决议</w:t>
            </w:r>
          </w:p>
        </w:tc>
      </w:tr>
      <w:tr w14:paraId="2F415A80">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44E4960D">
            <w:pPr>
              <w:spacing w:line="360" w:lineRule="auto"/>
              <w:jc w:val="center"/>
              <w:rPr>
                <w:rFonts w:ascii="宋体" w:hAnsi="宋体" w:eastAsia="宋体"/>
                <w:bCs/>
                <w:color w:val="auto"/>
                <w:sz w:val="22"/>
              </w:rPr>
            </w:pPr>
          </w:p>
        </w:tc>
        <w:tc>
          <w:tcPr>
            <w:tcW w:w="2693" w:type="dxa"/>
            <w:gridSpan w:val="3"/>
            <w:vMerge w:val="continue"/>
            <w:tcBorders>
              <w:left w:val="single" w:color="auto" w:sz="4" w:space="0"/>
              <w:right w:val="single" w:color="auto" w:sz="4" w:space="0"/>
            </w:tcBorders>
            <w:vAlign w:val="center"/>
          </w:tcPr>
          <w:p w14:paraId="7EA129F4">
            <w:pPr>
              <w:spacing w:line="360" w:lineRule="auto"/>
              <w:jc w:val="center"/>
              <w:rPr>
                <w:rFonts w:ascii="宋体" w:hAnsi="宋体" w:eastAsia="宋体"/>
                <w:bCs/>
                <w:color w:val="auto"/>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1A5A4A36">
            <w:pPr>
              <w:spacing w:line="360" w:lineRule="auto"/>
              <w:jc w:val="left"/>
              <w:rPr>
                <w:rFonts w:ascii="宋体" w:hAnsi="宋体" w:eastAsia="宋体"/>
                <w:bCs/>
                <w:color w:val="auto"/>
                <w:sz w:val="22"/>
              </w:rPr>
            </w:pPr>
            <w:r>
              <w:rPr>
                <w:rFonts w:ascii="宋体" w:hAnsi="宋体" w:eastAsia="宋体"/>
                <w:color w:val="auto"/>
                <w:sz w:val="22"/>
              </w:rPr>
              <w:t>□</w:t>
            </w:r>
            <w:r>
              <w:rPr>
                <w:rFonts w:hint="eastAsia" w:ascii="宋体" w:hAnsi="宋体" w:eastAsia="宋体"/>
                <w:color w:val="auto"/>
                <w:sz w:val="22"/>
              </w:rPr>
              <w:t>项目网络竞价须知</w:t>
            </w:r>
          </w:p>
        </w:tc>
        <w:tc>
          <w:tcPr>
            <w:tcW w:w="1710" w:type="dxa"/>
            <w:gridSpan w:val="2"/>
            <w:vMerge w:val="restart"/>
            <w:tcBorders>
              <w:top w:val="single" w:color="auto" w:sz="4" w:space="0"/>
              <w:left w:val="single" w:color="auto" w:sz="4" w:space="0"/>
              <w:right w:val="single" w:color="auto" w:sz="4" w:space="0"/>
            </w:tcBorders>
            <w:vAlign w:val="center"/>
          </w:tcPr>
          <w:p w14:paraId="096AE432">
            <w:pPr>
              <w:spacing w:line="360" w:lineRule="auto"/>
              <w:jc w:val="center"/>
              <w:rPr>
                <w:rFonts w:ascii="宋体" w:hAnsi="宋体" w:eastAsia="宋体"/>
                <w:color w:val="auto"/>
                <w:sz w:val="22"/>
              </w:rPr>
            </w:pPr>
            <w:r>
              <w:rPr>
                <w:rFonts w:hint="eastAsia" w:ascii="宋体" w:hAnsi="宋体" w:eastAsia="宋体"/>
                <w:color w:val="auto"/>
                <w:sz w:val="22"/>
              </w:rPr>
              <w:t>成交方式为网络竞价时须提供</w:t>
            </w:r>
          </w:p>
        </w:tc>
      </w:tr>
      <w:tr w14:paraId="537D2562">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1568651C">
            <w:pPr>
              <w:spacing w:line="360" w:lineRule="auto"/>
              <w:jc w:val="center"/>
              <w:rPr>
                <w:rFonts w:ascii="宋体" w:hAnsi="宋体" w:eastAsia="宋体"/>
                <w:bCs/>
                <w:color w:val="auto"/>
                <w:sz w:val="22"/>
              </w:rPr>
            </w:pPr>
          </w:p>
        </w:tc>
        <w:tc>
          <w:tcPr>
            <w:tcW w:w="2693" w:type="dxa"/>
            <w:gridSpan w:val="3"/>
            <w:vMerge w:val="continue"/>
            <w:tcBorders>
              <w:left w:val="single" w:color="auto" w:sz="4" w:space="0"/>
              <w:right w:val="single" w:color="auto" w:sz="4" w:space="0"/>
            </w:tcBorders>
            <w:vAlign w:val="center"/>
          </w:tcPr>
          <w:p w14:paraId="380BC0DB">
            <w:pPr>
              <w:spacing w:line="360" w:lineRule="auto"/>
              <w:jc w:val="center"/>
              <w:rPr>
                <w:rFonts w:ascii="宋体" w:hAnsi="宋体" w:eastAsia="宋体"/>
                <w:bCs/>
                <w:color w:val="auto"/>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45940C20">
            <w:pPr>
              <w:spacing w:line="360" w:lineRule="auto"/>
              <w:jc w:val="left"/>
              <w:rPr>
                <w:rFonts w:ascii="宋体" w:hAnsi="宋体" w:eastAsia="宋体"/>
                <w:bCs/>
                <w:color w:val="auto"/>
                <w:sz w:val="22"/>
              </w:rPr>
            </w:pPr>
            <w:r>
              <w:rPr>
                <w:rFonts w:ascii="宋体" w:hAnsi="宋体" w:eastAsia="宋体"/>
                <w:color w:val="auto"/>
                <w:sz w:val="22"/>
              </w:rPr>
              <w:t>□</w:t>
            </w:r>
            <w:r>
              <w:rPr>
                <w:rFonts w:hint="eastAsia" w:ascii="宋体" w:hAnsi="宋体" w:eastAsia="宋体"/>
                <w:color w:val="auto"/>
                <w:sz w:val="22"/>
              </w:rPr>
              <w:t>网络竞价项目承诺函</w:t>
            </w:r>
          </w:p>
        </w:tc>
        <w:tc>
          <w:tcPr>
            <w:tcW w:w="1710" w:type="dxa"/>
            <w:gridSpan w:val="2"/>
            <w:vMerge w:val="continue"/>
            <w:tcBorders>
              <w:left w:val="single" w:color="auto" w:sz="4" w:space="0"/>
              <w:right w:val="single" w:color="auto" w:sz="4" w:space="0"/>
            </w:tcBorders>
            <w:vAlign w:val="center"/>
          </w:tcPr>
          <w:p w14:paraId="3893DF1A">
            <w:pPr>
              <w:spacing w:line="360" w:lineRule="auto"/>
              <w:jc w:val="left"/>
              <w:rPr>
                <w:rFonts w:ascii="宋体" w:hAnsi="宋体" w:eastAsia="宋体"/>
                <w:color w:val="auto"/>
                <w:sz w:val="22"/>
              </w:rPr>
            </w:pPr>
          </w:p>
        </w:tc>
      </w:tr>
      <w:tr w14:paraId="13D50F00">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2F5F5225">
            <w:pPr>
              <w:spacing w:line="360" w:lineRule="auto"/>
              <w:jc w:val="center"/>
              <w:rPr>
                <w:rFonts w:ascii="宋体" w:hAnsi="宋体" w:eastAsia="宋体"/>
                <w:bCs/>
                <w:color w:val="auto"/>
                <w:sz w:val="22"/>
              </w:rPr>
            </w:pPr>
          </w:p>
        </w:tc>
        <w:tc>
          <w:tcPr>
            <w:tcW w:w="2693" w:type="dxa"/>
            <w:gridSpan w:val="3"/>
            <w:vMerge w:val="continue"/>
            <w:tcBorders>
              <w:left w:val="single" w:color="auto" w:sz="4" w:space="0"/>
              <w:right w:val="single" w:color="auto" w:sz="4" w:space="0"/>
            </w:tcBorders>
            <w:vAlign w:val="center"/>
          </w:tcPr>
          <w:p w14:paraId="10246C51">
            <w:pPr>
              <w:spacing w:line="360" w:lineRule="auto"/>
              <w:jc w:val="center"/>
              <w:rPr>
                <w:rFonts w:ascii="宋体" w:hAnsi="宋体" w:eastAsia="宋体"/>
                <w:bCs/>
                <w:color w:val="auto"/>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535738B1">
            <w:pPr>
              <w:spacing w:line="360" w:lineRule="auto"/>
              <w:jc w:val="left"/>
              <w:rPr>
                <w:rFonts w:ascii="宋体" w:hAnsi="宋体" w:eastAsia="宋体"/>
                <w:color w:val="auto"/>
                <w:sz w:val="22"/>
              </w:rPr>
            </w:pPr>
            <w:r>
              <w:rPr>
                <w:rFonts w:ascii="宋体" w:hAnsi="宋体" w:eastAsia="宋体"/>
                <w:color w:val="auto"/>
                <w:sz w:val="22"/>
              </w:rPr>
              <w:t>□</w:t>
            </w:r>
            <w:r>
              <w:rPr>
                <w:rFonts w:hint="eastAsia" w:ascii="宋体" w:hAnsi="宋体" w:eastAsia="宋体"/>
                <w:color w:val="auto"/>
                <w:sz w:val="22"/>
              </w:rPr>
              <w:t>打款证明（</w:t>
            </w:r>
            <w:r>
              <w:rPr>
                <w:rFonts w:hint="eastAsia" w:ascii="宋体" w:hAnsi="宋体"/>
                <w:color w:val="auto"/>
                <w:sz w:val="22"/>
              </w:rPr>
              <w:t>须</w:t>
            </w:r>
            <w:r>
              <w:rPr>
                <w:rFonts w:hint="eastAsia" w:ascii="宋体" w:hAnsi="宋体" w:eastAsia="宋体"/>
                <w:color w:val="auto"/>
                <w:sz w:val="22"/>
              </w:rPr>
              <w:t>备注项目编号）</w:t>
            </w:r>
          </w:p>
        </w:tc>
        <w:tc>
          <w:tcPr>
            <w:tcW w:w="1710" w:type="dxa"/>
            <w:gridSpan w:val="2"/>
            <w:vMerge w:val="continue"/>
            <w:tcBorders>
              <w:left w:val="single" w:color="auto" w:sz="4" w:space="0"/>
              <w:bottom w:val="single" w:color="auto" w:sz="4" w:space="0"/>
              <w:right w:val="single" w:color="auto" w:sz="4" w:space="0"/>
            </w:tcBorders>
            <w:vAlign w:val="center"/>
          </w:tcPr>
          <w:p w14:paraId="6324A241">
            <w:pPr>
              <w:spacing w:line="360" w:lineRule="auto"/>
              <w:jc w:val="left"/>
              <w:rPr>
                <w:rFonts w:ascii="宋体" w:hAnsi="宋体" w:eastAsia="宋体"/>
                <w:color w:val="auto"/>
                <w:sz w:val="22"/>
              </w:rPr>
            </w:pPr>
          </w:p>
        </w:tc>
      </w:tr>
      <w:tr w14:paraId="2A92AEB4">
        <w:tblPrEx>
          <w:tblCellMar>
            <w:top w:w="0" w:type="dxa"/>
            <w:left w:w="0" w:type="dxa"/>
            <w:bottom w:w="0" w:type="dxa"/>
            <w:right w:w="0" w:type="dxa"/>
          </w:tblCellMar>
        </w:tblPrEx>
        <w:trPr>
          <w:cantSplit/>
          <w:trHeight w:val="567" w:hRule="atLeast"/>
          <w:jc w:val="center"/>
        </w:trPr>
        <w:tc>
          <w:tcPr>
            <w:tcW w:w="1413" w:type="dxa"/>
            <w:vMerge w:val="restart"/>
            <w:tcBorders>
              <w:top w:val="single" w:color="auto" w:sz="4" w:space="0"/>
              <w:left w:val="single" w:color="auto" w:sz="4" w:space="0"/>
              <w:right w:val="single" w:color="auto" w:sz="4" w:space="0"/>
            </w:tcBorders>
            <w:vAlign w:val="center"/>
          </w:tcPr>
          <w:p w14:paraId="1855C4C2">
            <w:pPr>
              <w:spacing w:line="360" w:lineRule="auto"/>
              <w:jc w:val="center"/>
              <w:rPr>
                <w:rFonts w:ascii="宋体" w:hAnsi="宋体" w:eastAsia="宋体"/>
                <w:color w:val="auto"/>
                <w:sz w:val="22"/>
              </w:rPr>
            </w:pPr>
            <w:r>
              <w:rPr>
                <w:rFonts w:hint="eastAsia" w:ascii="宋体" w:hAnsi="宋体" w:eastAsia="宋体"/>
                <w:bCs/>
                <w:color w:val="auto"/>
                <w:sz w:val="22"/>
              </w:rPr>
              <w:t>委托会员</w:t>
            </w:r>
          </w:p>
        </w:tc>
        <w:tc>
          <w:tcPr>
            <w:tcW w:w="1520" w:type="dxa"/>
            <w:tcBorders>
              <w:top w:val="single" w:color="auto" w:sz="4" w:space="0"/>
              <w:left w:val="single" w:color="auto" w:sz="4" w:space="0"/>
              <w:bottom w:val="single" w:color="auto" w:sz="4" w:space="0"/>
              <w:right w:val="single" w:color="auto" w:sz="4" w:space="0"/>
            </w:tcBorders>
            <w:vAlign w:val="center"/>
          </w:tcPr>
          <w:p w14:paraId="6BF46384">
            <w:pPr>
              <w:spacing w:line="360" w:lineRule="auto"/>
              <w:jc w:val="center"/>
              <w:rPr>
                <w:rFonts w:ascii="宋体" w:hAnsi="宋体" w:eastAsia="宋体"/>
                <w:color w:val="auto"/>
                <w:sz w:val="22"/>
              </w:rPr>
            </w:pPr>
            <w:r>
              <w:rPr>
                <w:rFonts w:hint="eastAsia" w:ascii="宋体" w:hAnsi="宋体" w:eastAsia="宋体"/>
                <w:color w:val="auto"/>
                <w:sz w:val="22"/>
              </w:rPr>
              <w:t>委托机构</w:t>
            </w:r>
          </w:p>
        </w:tc>
        <w:tc>
          <w:tcPr>
            <w:tcW w:w="1173" w:type="dxa"/>
            <w:gridSpan w:val="2"/>
            <w:tcBorders>
              <w:top w:val="single" w:color="auto" w:sz="4" w:space="0"/>
              <w:left w:val="single" w:color="auto" w:sz="4" w:space="0"/>
              <w:bottom w:val="single" w:color="auto" w:sz="4" w:space="0"/>
              <w:right w:val="single" w:color="auto" w:sz="4" w:space="0"/>
            </w:tcBorders>
            <w:vAlign w:val="center"/>
          </w:tcPr>
          <w:p w14:paraId="7D195F9B">
            <w:pPr>
              <w:spacing w:line="360" w:lineRule="auto"/>
              <w:jc w:val="center"/>
              <w:rPr>
                <w:rFonts w:ascii="宋体" w:hAnsi="宋体" w:eastAsia="宋体"/>
                <w:color w:val="auto"/>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62A2CBEA">
            <w:pPr>
              <w:spacing w:line="360" w:lineRule="auto"/>
              <w:jc w:val="center"/>
              <w:rPr>
                <w:rFonts w:ascii="宋体" w:hAnsi="宋体" w:eastAsia="宋体"/>
                <w:color w:val="auto"/>
                <w:sz w:val="22"/>
              </w:rPr>
            </w:pPr>
            <w:r>
              <w:rPr>
                <w:rFonts w:hint="eastAsia" w:ascii="宋体" w:hAnsi="宋体" w:eastAsia="宋体"/>
                <w:color w:val="auto"/>
                <w:sz w:val="22"/>
              </w:rPr>
              <w:t>会员代码</w:t>
            </w:r>
          </w:p>
        </w:tc>
        <w:tc>
          <w:tcPr>
            <w:tcW w:w="1710" w:type="dxa"/>
            <w:gridSpan w:val="2"/>
            <w:tcBorders>
              <w:top w:val="single" w:color="auto" w:sz="4" w:space="0"/>
              <w:left w:val="single" w:color="auto" w:sz="4" w:space="0"/>
              <w:bottom w:val="single" w:color="auto" w:sz="4" w:space="0"/>
              <w:right w:val="single" w:color="auto" w:sz="4" w:space="0"/>
            </w:tcBorders>
            <w:vAlign w:val="center"/>
          </w:tcPr>
          <w:p w14:paraId="5D64B89E">
            <w:pPr>
              <w:spacing w:line="360" w:lineRule="auto"/>
              <w:rPr>
                <w:rFonts w:ascii="宋体" w:hAnsi="宋体" w:eastAsia="宋体"/>
                <w:color w:val="auto"/>
                <w:sz w:val="22"/>
              </w:rPr>
            </w:pPr>
          </w:p>
        </w:tc>
      </w:tr>
      <w:tr w14:paraId="65DB0180">
        <w:tblPrEx>
          <w:tblCellMar>
            <w:top w:w="0" w:type="dxa"/>
            <w:left w:w="0" w:type="dxa"/>
            <w:bottom w:w="0" w:type="dxa"/>
            <w:right w:w="0" w:type="dxa"/>
          </w:tblCellMar>
        </w:tblPrEx>
        <w:trPr>
          <w:cantSplit/>
          <w:trHeight w:val="567" w:hRule="atLeast"/>
          <w:jc w:val="center"/>
        </w:trPr>
        <w:tc>
          <w:tcPr>
            <w:tcW w:w="1413" w:type="dxa"/>
            <w:vMerge w:val="continue"/>
            <w:tcBorders>
              <w:left w:val="single" w:color="auto" w:sz="4" w:space="0"/>
              <w:bottom w:val="single" w:color="auto" w:sz="4" w:space="0"/>
              <w:right w:val="single" w:color="auto" w:sz="4" w:space="0"/>
            </w:tcBorders>
            <w:vAlign w:val="center"/>
          </w:tcPr>
          <w:p w14:paraId="1DA84F9D">
            <w:pPr>
              <w:spacing w:line="360" w:lineRule="auto"/>
              <w:jc w:val="center"/>
              <w:rPr>
                <w:rFonts w:ascii="宋体" w:hAnsi="宋体" w:eastAsia="宋体"/>
                <w:color w:val="auto"/>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1BF663A6">
            <w:pPr>
              <w:spacing w:line="360" w:lineRule="auto"/>
              <w:jc w:val="center"/>
              <w:rPr>
                <w:rFonts w:ascii="宋体" w:hAnsi="宋体" w:eastAsia="宋体"/>
                <w:color w:val="auto"/>
                <w:sz w:val="22"/>
              </w:rPr>
            </w:pPr>
            <w:r>
              <w:rPr>
                <w:rFonts w:hint="eastAsia" w:ascii="宋体" w:hAnsi="宋体" w:eastAsia="宋体"/>
                <w:color w:val="auto"/>
                <w:sz w:val="22"/>
              </w:rPr>
              <w:t>联系人</w:t>
            </w:r>
          </w:p>
        </w:tc>
        <w:tc>
          <w:tcPr>
            <w:tcW w:w="1173" w:type="dxa"/>
            <w:gridSpan w:val="2"/>
            <w:tcBorders>
              <w:top w:val="single" w:color="auto" w:sz="4" w:space="0"/>
              <w:left w:val="single" w:color="auto" w:sz="4" w:space="0"/>
              <w:bottom w:val="single" w:color="auto" w:sz="4" w:space="0"/>
              <w:right w:val="single" w:color="auto" w:sz="4" w:space="0"/>
            </w:tcBorders>
            <w:vAlign w:val="center"/>
          </w:tcPr>
          <w:p w14:paraId="677E8943">
            <w:pPr>
              <w:spacing w:line="360" w:lineRule="auto"/>
              <w:jc w:val="center"/>
              <w:rPr>
                <w:rFonts w:hint="eastAsia" w:ascii="宋体" w:hAnsi="宋体" w:eastAsia="宋体"/>
                <w:color w:val="auto"/>
                <w:sz w:val="22"/>
                <w:lang w:val="en-US" w:eastAsia="zh-CN"/>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7B6E1065">
            <w:pPr>
              <w:spacing w:line="360" w:lineRule="auto"/>
              <w:jc w:val="center"/>
              <w:rPr>
                <w:rFonts w:ascii="宋体" w:hAnsi="宋体" w:eastAsia="宋体"/>
                <w:color w:val="auto"/>
                <w:sz w:val="22"/>
              </w:rPr>
            </w:pPr>
            <w:r>
              <w:rPr>
                <w:rFonts w:hint="eastAsia" w:ascii="宋体" w:hAnsi="宋体" w:eastAsia="宋体"/>
                <w:color w:val="auto"/>
                <w:sz w:val="22"/>
              </w:rPr>
              <w:t>联系人电话</w:t>
            </w:r>
          </w:p>
        </w:tc>
        <w:tc>
          <w:tcPr>
            <w:tcW w:w="1710" w:type="dxa"/>
            <w:gridSpan w:val="2"/>
            <w:tcBorders>
              <w:top w:val="single" w:color="auto" w:sz="4" w:space="0"/>
              <w:left w:val="single" w:color="auto" w:sz="4" w:space="0"/>
              <w:bottom w:val="single" w:color="auto" w:sz="4" w:space="0"/>
              <w:right w:val="single" w:color="auto" w:sz="4" w:space="0"/>
            </w:tcBorders>
            <w:vAlign w:val="center"/>
          </w:tcPr>
          <w:p w14:paraId="29B1569B">
            <w:pPr>
              <w:spacing w:line="360" w:lineRule="auto"/>
              <w:jc w:val="center"/>
              <w:rPr>
                <w:rFonts w:hint="default" w:ascii="宋体" w:hAnsi="宋体" w:eastAsia="宋体"/>
                <w:color w:val="auto"/>
                <w:sz w:val="22"/>
                <w:lang w:val="en-US" w:eastAsia="zh-CN"/>
              </w:rPr>
            </w:pPr>
          </w:p>
        </w:tc>
      </w:tr>
    </w:tbl>
    <w:p w14:paraId="62793C3E">
      <w:pPr>
        <w:spacing w:line="570" w:lineRule="exact"/>
        <w:jc w:val="center"/>
        <w:rPr>
          <w:rFonts w:hint="eastAsia" w:ascii="方正小标宋简体" w:hAnsi="方正小标宋简体" w:eastAsia="方正小标宋简体" w:cs="方正小标宋简体"/>
          <w:b/>
          <w:bCs/>
          <w:color w:val="auto"/>
          <w:sz w:val="36"/>
          <w:szCs w:val="36"/>
          <w:u w:val="single"/>
        </w:rPr>
      </w:pPr>
    </w:p>
    <w:p w14:paraId="04B69615">
      <w:pPr>
        <w:spacing w:line="570" w:lineRule="exact"/>
        <w:jc w:val="center"/>
        <w:rPr>
          <w:rFonts w:hint="eastAsia" w:ascii="方正小标宋简体" w:hAnsi="方正小标宋简体" w:eastAsia="方正小标宋简体" w:cs="方正小标宋简体"/>
          <w:b/>
          <w:bCs/>
          <w:color w:val="auto"/>
          <w:sz w:val="36"/>
          <w:szCs w:val="36"/>
          <w:u w:val="single"/>
        </w:rPr>
      </w:pPr>
    </w:p>
    <w:p w14:paraId="3377BB91">
      <w:pPr>
        <w:spacing w:line="570" w:lineRule="exact"/>
        <w:jc w:val="center"/>
        <w:rPr>
          <w:rFonts w:hint="eastAsia" w:ascii="方正小标宋简体" w:hAnsi="方正小标宋简体" w:eastAsia="方正小标宋简体" w:cs="方正小标宋简体"/>
          <w:b/>
          <w:bCs/>
          <w:color w:val="auto"/>
          <w:sz w:val="36"/>
          <w:szCs w:val="36"/>
          <w:u w:val="single"/>
        </w:rPr>
      </w:pPr>
    </w:p>
    <w:p w14:paraId="16F2920D">
      <w:pPr>
        <w:keepNext w:val="0"/>
        <w:keepLines w:val="0"/>
        <w:pageBreakBefore w:val="0"/>
        <w:widowControl w:val="0"/>
        <w:kinsoku/>
        <w:wordWrap/>
        <w:overflowPunct/>
        <w:topLinePunct w:val="0"/>
        <w:autoSpaceDE/>
        <w:autoSpaceDN/>
        <w:bidi w:val="0"/>
        <w:adjustRightInd/>
        <w:snapToGrid/>
        <w:spacing w:line="640" w:lineRule="exact"/>
        <w:jc w:val="center"/>
        <w:textAlignment w:val="auto"/>
        <w:rPr>
          <w:rFonts w:hint="eastAsia" w:ascii="新宋体" w:hAnsi="新宋体" w:eastAsia="新宋体" w:cs="新宋体"/>
          <w:b/>
          <w:bCs/>
          <w:color w:val="auto"/>
          <w:sz w:val="36"/>
          <w:szCs w:val="36"/>
        </w:rPr>
      </w:pPr>
      <w:r>
        <w:rPr>
          <w:rFonts w:hint="eastAsia" w:ascii="新宋体" w:hAnsi="新宋体" w:eastAsia="新宋体" w:cs="新宋体"/>
          <w:b/>
          <w:bCs/>
          <w:color w:val="auto"/>
          <w:sz w:val="36"/>
          <w:szCs w:val="36"/>
          <w:u w:val="single"/>
          <w:lang w:val="en-US" w:eastAsia="zh-CN"/>
        </w:rPr>
        <w:t>屯昌县屯城镇兴盛小区103号109.61㎡商铺出租</w:t>
      </w:r>
      <w:r>
        <w:rPr>
          <w:rFonts w:hint="eastAsia" w:ascii="新宋体" w:hAnsi="新宋体" w:eastAsia="新宋体" w:cs="新宋体"/>
          <w:b/>
          <w:bCs/>
          <w:color w:val="auto"/>
          <w:sz w:val="36"/>
          <w:szCs w:val="36"/>
          <w:lang w:val="en-US" w:eastAsia="zh-CN"/>
        </w:rPr>
        <w:t>交易</w:t>
      </w:r>
      <w:r>
        <w:rPr>
          <w:rFonts w:hint="eastAsia" w:ascii="新宋体" w:hAnsi="新宋体" w:eastAsia="新宋体" w:cs="新宋体"/>
          <w:b/>
          <w:bCs/>
          <w:color w:val="auto"/>
          <w:sz w:val="36"/>
          <w:szCs w:val="36"/>
        </w:rPr>
        <w:t>公示</w:t>
      </w:r>
    </w:p>
    <w:p w14:paraId="5646C5BB">
      <w:pPr>
        <w:pStyle w:val="4"/>
        <w:keepNext/>
        <w:keepLines/>
        <w:pageBreakBefore w:val="0"/>
        <w:widowControl w:val="0"/>
        <w:kinsoku/>
        <w:wordWrap/>
        <w:overflowPunct/>
        <w:topLinePunct w:val="0"/>
        <w:autoSpaceDE/>
        <w:autoSpaceDN/>
        <w:bidi w:val="0"/>
        <w:adjustRightInd/>
        <w:snapToGrid/>
        <w:spacing w:before="0" w:after="0" w:line="590" w:lineRule="exact"/>
        <w:textAlignment w:val="auto"/>
        <w:rPr>
          <w:rFonts w:hint="eastAsia"/>
        </w:rPr>
      </w:pPr>
    </w:p>
    <w:p w14:paraId="12AF6930">
      <w:pPr>
        <w:keepNext w:val="0"/>
        <w:keepLines w:val="0"/>
        <w:pageBreakBefore w:val="0"/>
        <w:widowControl w:val="0"/>
        <w:kinsoku/>
        <w:overflowPunct/>
        <w:topLinePunct w:val="0"/>
        <w:autoSpaceDE/>
        <w:autoSpaceDN/>
        <w:bidi w:val="0"/>
        <w:adjustRightInd/>
        <w:snapToGrid/>
        <w:spacing w:line="590" w:lineRule="exact"/>
        <w:ind w:firstLine="640" w:firstLineChars="200"/>
        <w:textAlignment w:val="auto"/>
        <w:rPr>
          <w:rFonts w:hint="eastAsia" w:asciiTheme="minorEastAsia" w:hAnsiTheme="minorEastAsia" w:eastAsiaTheme="minorEastAsia" w:cstheme="minorEastAsia"/>
          <w:color w:val="auto"/>
          <w:sz w:val="32"/>
          <w:szCs w:val="32"/>
        </w:rPr>
      </w:pPr>
      <w:r>
        <w:rPr>
          <w:rFonts w:hint="eastAsia" w:asciiTheme="minorEastAsia" w:hAnsiTheme="minorEastAsia" w:eastAsiaTheme="minorEastAsia" w:cstheme="minorEastAsia"/>
          <w:color w:val="auto"/>
          <w:sz w:val="32"/>
          <w:szCs w:val="32"/>
        </w:rPr>
        <w:t>经</w:t>
      </w:r>
      <w:r>
        <w:rPr>
          <w:rFonts w:hint="eastAsia" w:asciiTheme="minorEastAsia" w:hAnsiTheme="minorEastAsia" w:cstheme="minorEastAsia"/>
          <w:color w:val="auto"/>
          <w:sz w:val="32"/>
          <w:szCs w:val="32"/>
          <w:u w:val="single"/>
          <w:lang w:val="en-US" w:eastAsia="zh-CN"/>
        </w:rPr>
        <w:t>屯昌县国有资产经营有限公司</w:t>
      </w:r>
      <w:r>
        <w:rPr>
          <w:rFonts w:hint="eastAsia" w:asciiTheme="minorEastAsia" w:hAnsiTheme="minorEastAsia" w:eastAsiaTheme="minorEastAsia" w:cstheme="minorEastAsia"/>
          <w:color w:val="auto"/>
          <w:sz w:val="32"/>
          <w:szCs w:val="32"/>
        </w:rPr>
        <w:t>召开会议决议，同意</w:t>
      </w:r>
      <w:r>
        <w:rPr>
          <w:rFonts w:hint="eastAsia" w:asciiTheme="minorEastAsia" w:hAnsiTheme="minorEastAsia" w:cstheme="minorEastAsia"/>
          <w:color w:val="auto"/>
          <w:sz w:val="32"/>
          <w:szCs w:val="32"/>
          <w:u w:val="single"/>
          <w:lang w:val="en-US" w:eastAsia="zh-CN"/>
        </w:rPr>
        <w:t>屯昌县屯城镇兴盛小区103号109.61㎡商铺出租</w:t>
      </w:r>
      <w:r>
        <w:rPr>
          <w:rFonts w:hint="eastAsia" w:asciiTheme="minorEastAsia" w:hAnsiTheme="minorEastAsia" w:eastAsiaTheme="minorEastAsia" w:cstheme="minorEastAsia"/>
          <w:color w:val="auto"/>
          <w:sz w:val="32"/>
          <w:szCs w:val="32"/>
        </w:rPr>
        <w:t>在</w:t>
      </w:r>
      <w:r>
        <w:rPr>
          <w:rFonts w:hint="eastAsia" w:asciiTheme="minorEastAsia" w:hAnsiTheme="minorEastAsia" w:cstheme="minorEastAsia"/>
          <w:color w:val="auto"/>
          <w:sz w:val="32"/>
          <w:szCs w:val="32"/>
          <w:lang w:val="en-US" w:eastAsia="zh-CN"/>
        </w:rPr>
        <w:t>屯昌县农村产权交易服务平台</w:t>
      </w:r>
      <w:r>
        <w:rPr>
          <w:rFonts w:hint="eastAsia" w:asciiTheme="minorEastAsia" w:hAnsiTheme="minorEastAsia" w:eastAsiaTheme="minorEastAsia" w:cstheme="minorEastAsia"/>
          <w:color w:val="auto"/>
          <w:sz w:val="32"/>
          <w:szCs w:val="32"/>
        </w:rPr>
        <w:t>（</w:t>
      </w:r>
      <w:r>
        <w:rPr>
          <w:rFonts w:hint="eastAsia" w:ascii="新宋体" w:hAnsi="新宋体" w:eastAsia="新宋体" w:cs="Times New Roman"/>
          <w:color w:val="auto"/>
          <w:sz w:val="28"/>
          <w:szCs w:val="28"/>
        </w:rPr>
        <w:t>https://tunchang.nongjiao.com/</w:t>
      </w:r>
      <w:r>
        <w:rPr>
          <w:rFonts w:hint="eastAsia" w:asciiTheme="minorEastAsia" w:hAnsiTheme="minorEastAsia" w:eastAsiaTheme="minorEastAsia" w:cstheme="minorEastAsia"/>
          <w:color w:val="auto"/>
          <w:sz w:val="32"/>
          <w:szCs w:val="32"/>
        </w:rPr>
        <w:t>，以下简称“平台”）进行出租交易，依据《</w:t>
      </w:r>
      <w:r>
        <w:rPr>
          <w:rFonts w:hint="eastAsia" w:asciiTheme="minorEastAsia" w:hAnsiTheme="minorEastAsia" w:cstheme="minorEastAsia"/>
          <w:color w:val="auto"/>
          <w:sz w:val="32"/>
          <w:szCs w:val="32"/>
          <w:lang w:val="en-US" w:eastAsia="zh-CN"/>
        </w:rPr>
        <w:t>屯昌县</w:t>
      </w:r>
      <w:r>
        <w:rPr>
          <w:rFonts w:hint="eastAsia" w:asciiTheme="minorEastAsia" w:hAnsiTheme="minorEastAsia" w:eastAsiaTheme="minorEastAsia" w:cstheme="minorEastAsia"/>
          <w:color w:val="auto"/>
          <w:sz w:val="32"/>
          <w:szCs w:val="32"/>
        </w:rPr>
        <w:t>农村产权流转交易管理暂行办法》规定在平台挂牌交易，现将公示如下：</w:t>
      </w:r>
    </w:p>
    <w:p w14:paraId="5E0D3AE1">
      <w:pPr>
        <w:keepNext w:val="0"/>
        <w:keepLines w:val="0"/>
        <w:pageBreakBefore w:val="0"/>
        <w:widowControl w:val="0"/>
        <w:numPr>
          <w:ilvl w:val="0"/>
          <w:numId w:val="3"/>
        </w:numPr>
        <w:kinsoku/>
        <w:wordWrap/>
        <w:overflowPunct/>
        <w:topLinePunct w:val="0"/>
        <w:autoSpaceDE/>
        <w:autoSpaceDN/>
        <w:bidi w:val="0"/>
        <w:adjustRightInd/>
        <w:snapToGrid/>
        <w:spacing w:line="590" w:lineRule="exact"/>
        <w:ind w:firstLine="0" w:firstLineChars="0"/>
        <w:textAlignment w:val="auto"/>
        <w:rPr>
          <w:rFonts w:hint="default" w:asciiTheme="minorEastAsia" w:hAnsiTheme="minorEastAsia" w:cstheme="minorEastAsia"/>
          <w:color w:val="auto"/>
          <w:sz w:val="28"/>
          <w:szCs w:val="28"/>
          <w:lang w:val="en-US" w:eastAsia="zh-CN"/>
        </w:rPr>
      </w:pPr>
      <w:r>
        <w:rPr>
          <w:rFonts w:hint="eastAsia" w:asciiTheme="minorEastAsia" w:hAnsiTheme="minorEastAsia" w:eastAsiaTheme="minorEastAsia" w:cstheme="minorEastAsia"/>
          <w:b/>
          <w:bCs/>
          <w:color w:val="auto"/>
          <w:sz w:val="28"/>
          <w:szCs w:val="28"/>
        </w:rPr>
        <w:t>标的信</w:t>
      </w:r>
      <w:r>
        <w:rPr>
          <w:rFonts w:hint="eastAsia" w:asciiTheme="minorEastAsia" w:hAnsiTheme="minorEastAsia" w:cstheme="minorEastAsia"/>
          <w:b/>
          <w:bCs/>
          <w:color w:val="auto"/>
          <w:sz w:val="28"/>
          <w:szCs w:val="28"/>
          <w:lang w:val="en-US" w:eastAsia="zh-CN"/>
        </w:rPr>
        <w:t>息</w:t>
      </w:r>
    </w:p>
    <w:p w14:paraId="42F42192">
      <w:pPr>
        <w:keepNext w:val="0"/>
        <w:keepLines w:val="0"/>
        <w:pageBreakBefore w:val="0"/>
        <w:widowControl w:val="0"/>
        <w:numPr>
          <w:ilvl w:val="0"/>
          <w:numId w:val="0"/>
        </w:numPr>
        <w:kinsoku/>
        <w:overflowPunct/>
        <w:topLinePunct w:val="0"/>
        <w:autoSpaceDE/>
        <w:autoSpaceDN/>
        <w:bidi w:val="0"/>
        <w:adjustRightInd/>
        <w:snapToGrid/>
        <w:spacing w:line="590" w:lineRule="exact"/>
        <w:ind w:left="559" w:leftChars="266" w:firstLine="0" w:firstLineChars="0"/>
        <w:textAlignment w:val="auto"/>
        <w:rPr>
          <w:rFonts w:hint="eastAsia" w:asciiTheme="minorEastAsia" w:hAnsiTheme="minorEastAsia" w:eastAsiaTheme="minorEastAsia" w:cstheme="minorEastAsia"/>
          <w:color w:val="auto"/>
          <w:sz w:val="28"/>
          <w:szCs w:val="28"/>
          <w:lang w:val="en-US" w:eastAsia="zh-CN"/>
        </w:rPr>
      </w:pPr>
      <w:r>
        <w:rPr>
          <w:rFonts w:hint="eastAsia" w:asciiTheme="minorEastAsia" w:hAnsiTheme="minorEastAsia" w:eastAsiaTheme="minorEastAsia" w:cstheme="minorEastAsia"/>
          <w:color w:val="auto"/>
          <w:sz w:val="28"/>
          <w:szCs w:val="28"/>
          <w:lang w:val="en-US" w:eastAsia="zh-CN"/>
        </w:rPr>
        <w:t>标的名称：</w:t>
      </w:r>
      <w:bookmarkStart w:id="35" w:name="OLE_LINK10"/>
      <w:r>
        <w:rPr>
          <w:rFonts w:hint="eastAsia" w:asciiTheme="minorEastAsia" w:hAnsiTheme="minorEastAsia" w:eastAsiaTheme="minorEastAsia" w:cstheme="minorEastAsia"/>
          <w:color w:val="auto"/>
          <w:sz w:val="28"/>
          <w:szCs w:val="28"/>
          <w:lang w:val="en-US" w:eastAsia="zh-CN"/>
        </w:rPr>
        <w:t>屯昌县屯城镇兴盛小区103号109.61㎡商铺出租</w:t>
      </w:r>
    </w:p>
    <w:p w14:paraId="61EE8F41">
      <w:pPr>
        <w:keepNext w:val="0"/>
        <w:keepLines w:val="0"/>
        <w:pageBreakBefore w:val="0"/>
        <w:widowControl w:val="0"/>
        <w:numPr>
          <w:ilvl w:val="0"/>
          <w:numId w:val="0"/>
        </w:numPr>
        <w:kinsoku/>
        <w:overflowPunct/>
        <w:topLinePunct w:val="0"/>
        <w:autoSpaceDE/>
        <w:autoSpaceDN/>
        <w:bidi w:val="0"/>
        <w:adjustRightInd/>
        <w:snapToGrid/>
        <w:spacing w:line="590" w:lineRule="exact"/>
        <w:ind w:firstLine="560" w:firstLineChars="200"/>
        <w:textAlignment w:val="auto"/>
        <w:rPr>
          <w:rFonts w:hint="default" w:asciiTheme="minorEastAsia" w:hAnsiTheme="minorEastAsia" w:eastAsiaTheme="minorEastAsia" w:cstheme="minorEastAsia"/>
          <w:color w:val="auto"/>
          <w:sz w:val="28"/>
          <w:szCs w:val="28"/>
          <w:lang w:val="en-US" w:eastAsia="zh-CN"/>
        </w:rPr>
      </w:pPr>
      <w:r>
        <w:rPr>
          <w:rFonts w:hint="eastAsia" w:asciiTheme="minorEastAsia" w:hAnsiTheme="minorEastAsia" w:cstheme="minorEastAsia"/>
          <w:color w:val="auto"/>
          <w:sz w:val="28"/>
          <w:szCs w:val="28"/>
          <w:lang w:val="en-US" w:eastAsia="zh-CN"/>
        </w:rPr>
        <w:t>出租</w:t>
      </w:r>
      <w:r>
        <w:rPr>
          <w:rFonts w:hint="eastAsia" w:asciiTheme="minorEastAsia" w:hAnsiTheme="minorEastAsia" w:eastAsiaTheme="minorEastAsia" w:cstheme="minorEastAsia"/>
          <w:color w:val="auto"/>
          <w:sz w:val="28"/>
          <w:szCs w:val="28"/>
          <w:lang w:val="en-US" w:eastAsia="zh-CN"/>
        </w:rPr>
        <w:t>方</w:t>
      </w:r>
      <w:r>
        <w:rPr>
          <w:rFonts w:hint="eastAsia" w:asciiTheme="minorEastAsia" w:hAnsiTheme="minorEastAsia" w:cstheme="minorEastAsia"/>
          <w:color w:val="auto"/>
          <w:sz w:val="28"/>
          <w:szCs w:val="28"/>
          <w:lang w:val="en-US" w:eastAsia="zh-CN"/>
        </w:rPr>
        <w:t>：屯昌县国有资产经营有限公司</w:t>
      </w:r>
    </w:p>
    <w:p w14:paraId="0B8E3215">
      <w:pPr>
        <w:keepNext w:val="0"/>
        <w:keepLines w:val="0"/>
        <w:pageBreakBefore w:val="0"/>
        <w:widowControl w:val="0"/>
        <w:numPr>
          <w:ilvl w:val="0"/>
          <w:numId w:val="0"/>
        </w:numPr>
        <w:kinsoku/>
        <w:overflowPunct/>
        <w:topLinePunct w:val="0"/>
        <w:autoSpaceDE/>
        <w:autoSpaceDN/>
        <w:bidi w:val="0"/>
        <w:adjustRightInd/>
        <w:snapToGrid/>
        <w:spacing w:line="590" w:lineRule="exact"/>
        <w:ind w:firstLine="560" w:firstLineChars="200"/>
        <w:textAlignment w:val="auto"/>
        <w:rPr>
          <w:rFonts w:hint="default" w:asciiTheme="minorEastAsia" w:hAnsiTheme="minorEastAsia" w:cstheme="minorEastAsia"/>
          <w:color w:val="auto"/>
          <w:sz w:val="28"/>
          <w:szCs w:val="28"/>
          <w:lang w:val="en-US" w:eastAsia="zh-CN"/>
        </w:rPr>
      </w:pPr>
      <w:r>
        <w:rPr>
          <w:rFonts w:hint="eastAsia" w:asciiTheme="minorEastAsia" w:hAnsiTheme="minorEastAsia" w:cstheme="minorEastAsia"/>
          <w:color w:val="auto"/>
          <w:sz w:val="28"/>
          <w:szCs w:val="28"/>
          <w:lang w:val="en-US" w:eastAsia="zh-CN"/>
        </w:rPr>
        <w:t>出租面积：109.61㎡</w:t>
      </w:r>
    </w:p>
    <w:p w14:paraId="0D5908A4">
      <w:pPr>
        <w:keepNext w:val="0"/>
        <w:keepLines w:val="0"/>
        <w:pageBreakBefore w:val="0"/>
        <w:widowControl w:val="0"/>
        <w:numPr>
          <w:ilvl w:val="0"/>
          <w:numId w:val="0"/>
        </w:numPr>
        <w:kinsoku/>
        <w:overflowPunct/>
        <w:topLinePunct w:val="0"/>
        <w:autoSpaceDE/>
        <w:autoSpaceDN/>
        <w:bidi w:val="0"/>
        <w:adjustRightInd/>
        <w:snapToGrid/>
        <w:spacing w:line="590" w:lineRule="exact"/>
        <w:ind w:firstLine="560" w:firstLineChars="200"/>
        <w:textAlignment w:val="auto"/>
        <w:rPr>
          <w:rFonts w:hint="default" w:asciiTheme="minorEastAsia" w:hAnsiTheme="minorEastAsia" w:cstheme="minorEastAsia"/>
          <w:color w:val="auto"/>
          <w:sz w:val="28"/>
          <w:szCs w:val="28"/>
          <w:lang w:val="en-US" w:eastAsia="zh-CN"/>
        </w:rPr>
      </w:pPr>
      <w:r>
        <w:rPr>
          <w:rFonts w:hint="eastAsia" w:asciiTheme="minorEastAsia" w:hAnsiTheme="minorEastAsia" w:cstheme="minorEastAsia"/>
          <w:color w:val="auto"/>
          <w:sz w:val="28"/>
          <w:szCs w:val="28"/>
          <w:lang w:val="en-US" w:eastAsia="zh-CN"/>
        </w:rPr>
        <w:t>出租年限：5年</w:t>
      </w:r>
    </w:p>
    <w:p w14:paraId="0D0DDCAE">
      <w:pPr>
        <w:keepNext w:val="0"/>
        <w:keepLines w:val="0"/>
        <w:pageBreakBefore w:val="0"/>
        <w:widowControl w:val="0"/>
        <w:numPr>
          <w:ilvl w:val="0"/>
          <w:numId w:val="0"/>
        </w:numPr>
        <w:kinsoku/>
        <w:overflowPunct/>
        <w:topLinePunct w:val="0"/>
        <w:autoSpaceDE/>
        <w:autoSpaceDN/>
        <w:bidi w:val="0"/>
        <w:adjustRightInd/>
        <w:snapToGrid/>
        <w:spacing w:line="590" w:lineRule="exact"/>
        <w:ind w:firstLine="560" w:firstLineChars="200"/>
        <w:textAlignment w:val="auto"/>
        <w:rPr>
          <w:rFonts w:hint="default" w:asciiTheme="minorEastAsia" w:hAnsiTheme="minorEastAsia" w:cstheme="minorEastAsia"/>
          <w:color w:val="FF0000"/>
          <w:sz w:val="28"/>
          <w:szCs w:val="28"/>
          <w:lang w:val="en-US" w:eastAsia="zh-CN"/>
        </w:rPr>
      </w:pPr>
      <w:r>
        <w:rPr>
          <w:rFonts w:hint="eastAsia" w:asciiTheme="minorEastAsia" w:hAnsiTheme="minorEastAsia" w:cstheme="minorEastAsia"/>
          <w:color w:val="auto"/>
          <w:sz w:val="28"/>
          <w:szCs w:val="28"/>
          <w:lang w:val="en-US" w:eastAsia="zh-CN"/>
        </w:rPr>
        <w:t>挂网底价：23676元/年</w:t>
      </w:r>
    </w:p>
    <w:p w14:paraId="4DEF106F">
      <w:pPr>
        <w:keepNext w:val="0"/>
        <w:keepLines w:val="0"/>
        <w:pageBreakBefore w:val="0"/>
        <w:widowControl w:val="0"/>
        <w:numPr>
          <w:ilvl w:val="0"/>
          <w:numId w:val="0"/>
        </w:numPr>
        <w:kinsoku/>
        <w:overflowPunct/>
        <w:topLinePunct w:val="0"/>
        <w:autoSpaceDE/>
        <w:autoSpaceDN/>
        <w:bidi w:val="0"/>
        <w:adjustRightInd/>
        <w:snapToGrid/>
        <w:spacing w:line="590" w:lineRule="exact"/>
        <w:ind w:firstLine="560" w:firstLineChars="200"/>
        <w:textAlignment w:val="auto"/>
        <w:rPr>
          <w:rFonts w:hint="default" w:asciiTheme="minorEastAsia" w:hAnsiTheme="minorEastAsia" w:cstheme="minorEastAsia"/>
          <w:color w:val="auto"/>
          <w:sz w:val="28"/>
          <w:szCs w:val="28"/>
          <w:lang w:val="en-US" w:eastAsia="zh-CN"/>
        </w:rPr>
      </w:pPr>
      <w:r>
        <w:rPr>
          <w:rFonts w:hint="eastAsia" w:asciiTheme="minorEastAsia" w:hAnsiTheme="minorEastAsia" w:cstheme="minorEastAsia"/>
          <w:color w:val="auto"/>
          <w:sz w:val="28"/>
          <w:szCs w:val="28"/>
          <w:lang w:val="en-US" w:eastAsia="zh-CN"/>
        </w:rPr>
        <w:t>交易保证金：23676</w:t>
      </w:r>
      <w:bookmarkStart w:id="36" w:name="_GoBack"/>
      <w:bookmarkEnd w:id="36"/>
      <w:r>
        <w:rPr>
          <w:rFonts w:hint="eastAsia" w:asciiTheme="minorEastAsia" w:hAnsiTheme="minorEastAsia" w:cstheme="minorEastAsia"/>
          <w:color w:val="auto"/>
          <w:sz w:val="28"/>
          <w:szCs w:val="28"/>
          <w:lang w:val="en-US" w:eastAsia="zh-CN"/>
        </w:rPr>
        <w:t>元</w:t>
      </w:r>
    </w:p>
    <w:p w14:paraId="5C2E7644">
      <w:pPr>
        <w:keepNext w:val="0"/>
        <w:keepLines w:val="0"/>
        <w:pageBreakBefore w:val="0"/>
        <w:widowControl w:val="0"/>
        <w:numPr>
          <w:ilvl w:val="0"/>
          <w:numId w:val="0"/>
        </w:numPr>
        <w:kinsoku/>
        <w:overflowPunct/>
        <w:topLinePunct w:val="0"/>
        <w:autoSpaceDE/>
        <w:autoSpaceDN/>
        <w:bidi w:val="0"/>
        <w:adjustRightInd/>
        <w:snapToGrid/>
        <w:spacing w:line="590" w:lineRule="exact"/>
        <w:ind w:firstLine="560" w:firstLineChars="200"/>
        <w:textAlignment w:val="auto"/>
        <w:rPr>
          <w:rFonts w:hint="eastAsia" w:asciiTheme="minorEastAsia" w:hAnsiTheme="minorEastAsia" w:cstheme="minorEastAsia"/>
          <w:color w:val="auto"/>
          <w:sz w:val="28"/>
          <w:szCs w:val="28"/>
          <w:lang w:val="en-US" w:eastAsia="zh-CN"/>
        </w:rPr>
      </w:pPr>
      <w:r>
        <w:rPr>
          <w:rFonts w:hint="eastAsia" w:asciiTheme="minorEastAsia" w:hAnsiTheme="minorEastAsia" w:cstheme="minorEastAsia"/>
          <w:color w:val="auto"/>
          <w:sz w:val="28"/>
          <w:szCs w:val="28"/>
          <w:lang w:val="en-US" w:eastAsia="zh-CN"/>
        </w:rPr>
        <w:t>报名时间：2026/11/2 10:00:00至2026/11/10 16:00:00</w:t>
      </w:r>
    </w:p>
    <w:p w14:paraId="596FB08B">
      <w:pPr>
        <w:keepNext w:val="0"/>
        <w:keepLines w:val="0"/>
        <w:pageBreakBefore w:val="0"/>
        <w:widowControl w:val="0"/>
        <w:numPr>
          <w:ilvl w:val="0"/>
          <w:numId w:val="0"/>
        </w:numPr>
        <w:kinsoku/>
        <w:overflowPunct/>
        <w:topLinePunct w:val="0"/>
        <w:autoSpaceDE/>
        <w:autoSpaceDN/>
        <w:bidi w:val="0"/>
        <w:adjustRightInd/>
        <w:snapToGrid/>
        <w:spacing w:line="590" w:lineRule="exact"/>
        <w:ind w:firstLine="560" w:firstLineChars="200"/>
        <w:textAlignment w:val="auto"/>
        <w:rPr>
          <w:rFonts w:hint="eastAsia" w:asciiTheme="minorEastAsia" w:hAnsiTheme="minorEastAsia" w:cstheme="minorEastAsia"/>
          <w:color w:val="auto"/>
          <w:sz w:val="28"/>
          <w:szCs w:val="28"/>
          <w:lang w:val="en-US" w:eastAsia="zh-CN"/>
        </w:rPr>
      </w:pPr>
      <w:r>
        <w:rPr>
          <w:rFonts w:hint="eastAsia" w:asciiTheme="minorEastAsia" w:hAnsiTheme="minorEastAsia" w:cstheme="minorEastAsia"/>
          <w:color w:val="auto"/>
          <w:sz w:val="28"/>
          <w:szCs w:val="28"/>
          <w:lang w:val="en-US" w:eastAsia="zh-CN"/>
        </w:rPr>
        <w:t>竞拍时间：</w:t>
      </w:r>
      <w:bookmarkEnd w:id="35"/>
      <w:r>
        <w:rPr>
          <w:rFonts w:hint="eastAsia" w:asciiTheme="minorEastAsia" w:hAnsiTheme="minorEastAsia" w:cstheme="minorEastAsia"/>
          <w:color w:val="auto"/>
          <w:sz w:val="28"/>
          <w:szCs w:val="28"/>
          <w:lang w:val="en-US" w:eastAsia="zh-CN"/>
        </w:rPr>
        <w:t>2026/11/11 10:00:00</w:t>
      </w:r>
    </w:p>
    <w:p w14:paraId="5071C517">
      <w:pPr>
        <w:keepNext w:val="0"/>
        <w:keepLines w:val="0"/>
        <w:pageBreakBefore w:val="0"/>
        <w:widowControl w:val="0"/>
        <w:numPr>
          <w:ilvl w:val="0"/>
          <w:numId w:val="0"/>
        </w:numPr>
        <w:kinsoku/>
        <w:overflowPunct/>
        <w:topLinePunct w:val="0"/>
        <w:autoSpaceDE/>
        <w:autoSpaceDN/>
        <w:bidi w:val="0"/>
        <w:adjustRightInd/>
        <w:snapToGrid/>
        <w:spacing w:line="590" w:lineRule="exact"/>
        <w:ind w:firstLine="560" w:firstLineChars="200"/>
        <w:textAlignment w:val="auto"/>
        <w:rPr>
          <w:rFonts w:hint="default" w:asciiTheme="minorEastAsia" w:hAnsiTheme="minorEastAsia" w:eastAsiaTheme="minorEastAsia" w:cstheme="minorEastAsia"/>
          <w:color w:val="FF0000"/>
          <w:sz w:val="28"/>
          <w:szCs w:val="28"/>
          <w:lang w:val="en-US" w:eastAsia="zh-CN"/>
        </w:rPr>
      </w:pPr>
      <w:r>
        <w:rPr>
          <w:rFonts w:hint="eastAsia" w:asciiTheme="minorEastAsia" w:hAnsiTheme="minorEastAsia" w:eastAsiaTheme="minorEastAsia" w:cstheme="minorEastAsia"/>
          <w:color w:val="auto"/>
          <w:sz w:val="28"/>
          <w:szCs w:val="28"/>
        </w:rPr>
        <w:t>付款方式：</w:t>
      </w:r>
      <w:r>
        <w:rPr>
          <w:rFonts w:hint="eastAsia" w:asciiTheme="minorEastAsia" w:hAnsiTheme="minorEastAsia" w:cstheme="minorEastAsia"/>
          <w:color w:val="auto"/>
          <w:sz w:val="28"/>
          <w:szCs w:val="28"/>
          <w:lang w:val="en-US" w:eastAsia="zh-CN"/>
        </w:rPr>
        <w:t>一年一付</w:t>
      </w:r>
    </w:p>
    <w:p w14:paraId="0452AC30">
      <w:pPr>
        <w:keepNext w:val="0"/>
        <w:keepLines w:val="0"/>
        <w:pageBreakBefore w:val="0"/>
        <w:widowControl w:val="0"/>
        <w:kinsoku/>
        <w:overflowPunct/>
        <w:topLinePunct w:val="0"/>
        <w:autoSpaceDE/>
        <w:autoSpaceDN/>
        <w:bidi w:val="0"/>
        <w:adjustRightInd/>
        <w:snapToGrid/>
        <w:spacing w:line="590" w:lineRule="exact"/>
        <w:ind w:firstLine="560" w:firstLineChars="200"/>
        <w:textAlignment w:val="auto"/>
        <w:rPr>
          <w:rFonts w:hint="default" w:asciiTheme="minorEastAsia" w:hAnsiTheme="minorEastAsia" w:eastAsiaTheme="minorEastAsia" w:cstheme="minorEastAsia"/>
          <w:color w:val="auto"/>
          <w:sz w:val="28"/>
          <w:szCs w:val="28"/>
          <w:lang w:val="en-US" w:eastAsia="zh-CN"/>
        </w:rPr>
      </w:pPr>
      <w:r>
        <w:rPr>
          <w:rFonts w:hint="eastAsia" w:asciiTheme="minorEastAsia" w:hAnsiTheme="minorEastAsia" w:eastAsiaTheme="minorEastAsia" w:cstheme="minorEastAsia"/>
          <w:color w:val="auto"/>
          <w:sz w:val="28"/>
          <w:szCs w:val="28"/>
        </w:rPr>
        <w:t>现场勘查联系方式：</w:t>
      </w:r>
      <w:r>
        <w:rPr>
          <w:rFonts w:hint="eastAsia" w:asciiTheme="minorEastAsia" w:hAnsiTheme="minorEastAsia" w:cstheme="minorEastAsia"/>
          <w:color w:val="auto"/>
          <w:sz w:val="28"/>
          <w:szCs w:val="28"/>
          <w:lang w:val="en-US" w:eastAsia="zh-CN"/>
        </w:rPr>
        <w:t>周</w:t>
      </w:r>
      <w:r>
        <w:rPr>
          <w:rFonts w:hint="eastAsia" w:asciiTheme="minorEastAsia" w:hAnsiTheme="minorEastAsia" w:eastAsiaTheme="minorEastAsia" w:cstheme="minorEastAsia"/>
          <w:color w:val="auto"/>
          <w:sz w:val="28"/>
          <w:szCs w:val="28"/>
        </w:rPr>
        <w:t xml:space="preserve">先生  </w:t>
      </w:r>
      <w:r>
        <w:rPr>
          <w:rFonts w:hint="eastAsia" w:asciiTheme="minorEastAsia" w:hAnsiTheme="minorEastAsia" w:cstheme="minorEastAsia"/>
          <w:color w:val="auto"/>
          <w:sz w:val="28"/>
          <w:szCs w:val="28"/>
          <w:lang w:val="en-US" w:eastAsia="zh-CN"/>
        </w:rPr>
        <w:t>0898-67814844  19389931804</w:t>
      </w:r>
    </w:p>
    <w:p w14:paraId="54F7E618">
      <w:pPr>
        <w:keepNext w:val="0"/>
        <w:keepLines w:val="0"/>
        <w:pageBreakBefore w:val="0"/>
        <w:widowControl w:val="0"/>
        <w:kinsoku/>
        <w:wordWrap/>
        <w:overflowPunct/>
        <w:topLinePunct w:val="0"/>
        <w:autoSpaceDE/>
        <w:autoSpaceDN/>
        <w:bidi w:val="0"/>
        <w:adjustRightInd/>
        <w:snapToGrid/>
        <w:spacing w:line="590" w:lineRule="exact"/>
        <w:ind w:firstLine="0" w:firstLineChars="0"/>
        <w:textAlignment w:val="auto"/>
        <w:rPr>
          <w:rFonts w:hint="eastAsia" w:asciiTheme="minorEastAsia" w:hAnsiTheme="minorEastAsia" w:eastAsiaTheme="minorEastAsia" w:cstheme="minorEastAsia"/>
          <w:b/>
          <w:bCs/>
          <w:color w:val="auto"/>
          <w:sz w:val="28"/>
          <w:szCs w:val="28"/>
        </w:rPr>
      </w:pPr>
      <w:r>
        <w:rPr>
          <w:rFonts w:hint="eastAsia" w:asciiTheme="minorEastAsia" w:hAnsiTheme="minorEastAsia" w:eastAsiaTheme="minorEastAsia" w:cstheme="minorEastAsia"/>
          <w:b/>
          <w:bCs/>
          <w:color w:val="auto"/>
          <w:sz w:val="28"/>
          <w:szCs w:val="28"/>
        </w:rPr>
        <w:t>二、流转交易渠道</w:t>
      </w:r>
    </w:p>
    <w:p w14:paraId="01E07DE5">
      <w:pPr>
        <w:keepNext w:val="0"/>
        <w:keepLines w:val="0"/>
        <w:pageBreakBefore w:val="0"/>
        <w:widowControl w:val="0"/>
        <w:kinsoku/>
        <w:overflowPunct/>
        <w:topLinePunct w:val="0"/>
        <w:autoSpaceDE/>
        <w:autoSpaceDN/>
        <w:bidi w:val="0"/>
        <w:adjustRightInd/>
        <w:snapToGrid/>
        <w:spacing w:line="590" w:lineRule="exact"/>
        <w:ind w:firstLine="560" w:firstLineChars="200"/>
        <w:textAlignment w:val="auto"/>
        <w:rPr>
          <w:rFonts w:hint="eastAsia" w:asciiTheme="minorEastAsia" w:hAnsiTheme="minorEastAsia" w:eastAsiaTheme="minorEastAsia" w:cstheme="minorEastAsia"/>
          <w:color w:val="auto"/>
          <w:sz w:val="28"/>
          <w:szCs w:val="28"/>
        </w:rPr>
      </w:pPr>
      <w:r>
        <w:rPr>
          <w:rFonts w:hint="eastAsia" w:asciiTheme="minorEastAsia" w:hAnsiTheme="minorEastAsia" w:eastAsiaTheme="minorEastAsia" w:cstheme="minorEastAsia"/>
          <w:color w:val="auto"/>
          <w:sz w:val="28"/>
          <w:szCs w:val="28"/>
        </w:rPr>
        <w:t>项目将通过平台流转交易。</w:t>
      </w:r>
    </w:p>
    <w:p w14:paraId="65301C86">
      <w:pPr>
        <w:keepNext w:val="0"/>
        <w:keepLines w:val="0"/>
        <w:pageBreakBefore w:val="0"/>
        <w:widowControl w:val="0"/>
        <w:kinsoku/>
        <w:overflowPunct/>
        <w:topLinePunct w:val="0"/>
        <w:autoSpaceDE/>
        <w:autoSpaceDN/>
        <w:bidi w:val="0"/>
        <w:adjustRightInd/>
        <w:snapToGrid/>
        <w:spacing w:line="590" w:lineRule="exact"/>
        <w:ind w:firstLine="560" w:firstLineChars="200"/>
        <w:textAlignment w:val="auto"/>
        <w:rPr>
          <w:rFonts w:hint="eastAsia" w:asciiTheme="minorEastAsia" w:hAnsiTheme="minorEastAsia" w:eastAsiaTheme="minorEastAsia" w:cstheme="minorEastAsia"/>
          <w:color w:val="auto"/>
          <w:sz w:val="28"/>
          <w:szCs w:val="28"/>
        </w:rPr>
      </w:pPr>
      <w:r>
        <w:rPr>
          <w:rFonts w:hint="eastAsia" w:asciiTheme="minorEastAsia" w:hAnsiTheme="minorEastAsia" w:eastAsiaTheme="minorEastAsia" w:cstheme="minorEastAsia"/>
          <w:color w:val="auto"/>
          <w:sz w:val="28"/>
          <w:szCs w:val="28"/>
        </w:rPr>
        <w:t>监督电话：0898-67812241</w:t>
      </w:r>
    </w:p>
    <w:p w14:paraId="22AA48A7">
      <w:pPr>
        <w:keepNext w:val="0"/>
        <w:keepLines w:val="0"/>
        <w:pageBreakBefore w:val="0"/>
        <w:widowControl w:val="0"/>
        <w:kinsoku/>
        <w:overflowPunct/>
        <w:topLinePunct w:val="0"/>
        <w:autoSpaceDE/>
        <w:autoSpaceDN/>
        <w:bidi w:val="0"/>
        <w:adjustRightInd/>
        <w:snapToGrid/>
        <w:spacing w:line="590" w:lineRule="exact"/>
        <w:ind w:firstLine="560" w:firstLineChars="200"/>
        <w:textAlignment w:val="auto"/>
        <w:rPr>
          <w:rFonts w:hint="default" w:asciiTheme="minorEastAsia" w:hAnsiTheme="minorEastAsia" w:eastAsiaTheme="minorEastAsia" w:cstheme="minorEastAsia"/>
          <w:color w:val="auto"/>
          <w:sz w:val="28"/>
          <w:szCs w:val="28"/>
          <w:lang w:val="en-US" w:eastAsia="zh-CN"/>
        </w:rPr>
      </w:pPr>
      <w:r>
        <w:rPr>
          <w:rFonts w:hint="eastAsia" w:asciiTheme="minorEastAsia" w:hAnsiTheme="minorEastAsia" w:eastAsiaTheme="minorEastAsia" w:cstheme="minorEastAsia"/>
          <w:color w:val="auto"/>
          <w:sz w:val="28"/>
          <w:szCs w:val="28"/>
        </w:rPr>
        <w:t>报名地址：</w:t>
      </w:r>
      <w:r>
        <w:rPr>
          <w:rFonts w:hint="eastAsia" w:asciiTheme="minorEastAsia" w:hAnsiTheme="minorEastAsia" w:cstheme="minorEastAsia"/>
          <w:color w:val="auto"/>
          <w:sz w:val="28"/>
          <w:szCs w:val="28"/>
          <w:lang w:val="en-US" w:eastAsia="zh-CN"/>
        </w:rPr>
        <w:t>海南省屯昌县屯城镇环东一路东侧昌顺花园6#-B幢102号</w:t>
      </w:r>
    </w:p>
    <w:p w14:paraId="1C36EA52">
      <w:pPr>
        <w:keepNext w:val="0"/>
        <w:keepLines w:val="0"/>
        <w:pageBreakBefore w:val="0"/>
        <w:widowControl w:val="0"/>
        <w:kinsoku/>
        <w:overflowPunct/>
        <w:topLinePunct w:val="0"/>
        <w:autoSpaceDE/>
        <w:autoSpaceDN/>
        <w:bidi w:val="0"/>
        <w:adjustRightInd/>
        <w:snapToGrid/>
        <w:spacing w:line="590" w:lineRule="exact"/>
        <w:ind w:firstLine="560" w:firstLineChars="200"/>
        <w:textAlignment w:val="auto"/>
        <w:rPr>
          <w:rFonts w:hint="eastAsia" w:asciiTheme="minorEastAsia" w:hAnsiTheme="minorEastAsia" w:eastAsiaTheme="minorEastAsia" w:cstheme="minorEastAsia"/>
          <w:color w:val="auto"/>
          <w:sz w:val="28"/>
          <w:szCs w:val="28"/>
        </w:rPr>
      </w:pPr>
      <w:r>
        <w:rPr>
          <w:rFonts w:hint="eastAsia" w:asciiTheme="minorEastAsia" w:hAnsiTheme="minorEastAsia" w:eastAsiaTheme="minorEastAsia" w:cstheme="minorEastAsia"/>
          <w:color w:val="auto"/>
          <w:sz w:val="28"/>
          <w:szCs w:val="28"/>
        </w:rPr>
        <w:t>项目在平台挂网公告中，欢迎意向客户报名竞投!详情请登录 https://tunchang.nongjiao.com/查看，以网站项目详情页为准。</w:t>
      </w:r>
    </w:p>
    <w:p w14:paraId="27C93056">
      <w:pPr>
        <w:pStyle w:val="6"/>
        <w:keepNext w:val="0"/>
        <w:keepLines w:val="0"/>
        <w:pageBreakBefore w:val="0"/>
        <w:widowControl w:val="0"/>
        <w:kinsoku/>
        <w:overflowPunct/>
        <w:topLinePunct w:val="0"/>
        <w:autoSpaceDE/>
        <w:autoSpaceDN/>
        <w:bidi w:val="0"/>
        <w:adjustRightInd/>
        <w:snapToGrid/>
        <w:spacing w:line="590" w:lineRule="exact"/>
        <w:ind w:left="0" w:leftChars="0" w:firstLine="0" w:firstLineChars="0"/>
        <w:jc w:val="both"/>
        <w:textAlignment w:val="auto"/>
        <w:rPr>
          <w:rFonts w:hint="eastAsia"/>
          <w:b/>
          <w:bCs/>
          <w:color w:val="auto"/>
          <w:sz w:val="28"/>
          <w:szCs w:val="36"/>
        </w:rPr>
      </w:pPr>
    </w:p>
    <w:p w14:paraId="2A9C0B32">
      <w:pPr>
        <w:pStyle w:val="6"/>
        <w:keepNext w:val="0"/>
        <w:keepLines w:val="0"/>
        <w:pageBreakBefore w:val="0"/>
        <w:widowControl w:val="0"/>
        <w:kinsoku/>
        <w:overflowPunct/>
        <w:topLinePunct w:val="0"/>
        <w:autoSpaceDE/>
        <w:autoSpaceDN/>
        <w:bidi w:val="0"/>
        <w:adjustRightInd/>
        <w:snapToGrid/>
        <w:spacing w:line="590" w:lineRule="exact"/>
        <w:ind w:left="0" w:leftChars="0" w:firstLine="562" w:firstLineChars="200"/>
        <w:jc w:val="both"/>
        <w:textAlignment w:val="auto"/>
        <w:rPr>
          <w:rFonts w:hint="eastAsia"/>
          <w:b/>
          <w:bCs/>
          <w:color w:val="auto"/>
          <w:sz w:val="28"/>
          <w:szCs w:val="36"/>
        </w:rPr>
      </w:pPr>
      <w:r>
        <w:rPr>
          <w:rFonts w:hint="eastAsia"/>
          <w:b/>
          <w:bCs/>
          <w:color w:val="auto"/>
          <w:sz w:val="28"/>
          <w:szCs w:val="36"/>
        </w:rPr>
        <w:t>已详细阅读此交易公示，对此交易公示内容无异议。</w:t>
      </w:r>
    </w:p>
    <w:p w14:paraId="318E0460">
      <w:pPr>
        <w:pStyle w:val="6"/>
        <w:keepNext w:val="0"/>
        <w:keepLines w:val="0"/>
        <w:pageBreakBefore w:val="0"/>
        <w:widowControl w:val="0"/>
        <w:kinsoku/>
        <w:overflowPunct/>
        <w:topLinePunct w:val="0"/>
        <w:autoSpaceDE/>
        <w:autoSpaceDN/>
        <w:bidi w:val="0"/>
        <w:adjustRightInd/>
        <w:snapToGrid/>
        <w:spacing w:line="590" w:lineRule="exact"/>
        <w:ind w:firstLine="562" w:firstLineChars="200"/>
        <w:jc w:val="right"/>
        <w:textAlignment w:val="auto"/>
        <w:rPr>
          <w:rFonts w:hint="eastAsia"/>
          <w:b/>
          <w:bCs/>
          <w:color w:val="auto"/>
          <w:sz w:val="28"/>
          <w:szCs w:val="36"/>
        </w:rPr>
      </w:pPr>
    </w:p>
    <w:p w14:paraId="1D3C857A">
      <w:pPr>
        <w:pStyle w:val="6"/>
        <w:keepNext w:val="0"/>
        <w:keepLines w:val="0"/>
        <w:pageBreakBefore w:val="0"/>
        <w:widowControl w:val="0"/>
        <w:kinsoku/>
        <w:wordWrap w:val="0"/>
        <w:overflowPunct/>
        <w:topLinePunct w:val="0"/>
        <w:autoSpaceDE/>
        <w:autoSpaceDN/>
        <w:bidi w:val="0"/>
        <w:adjustRightInd/>
        <w:snapToGrid/>
        <w:spacing w:line="590" w:lineRule="exact"/>
        <w:ind w:firstLine="562" w:firstLineChars="200"/>
        <w:jc w:val="center"/>
        <w:textAlignment w:val="auto"/>
        <w:rPr>
          <w:b/>
          <w:bCs/>
          <w:color w:val="auto"/>
          <w:sz w:val="28"/>
          <w:szCs w:val="36"/>
        </w:rPr>
      </w:pPr>
      <w:r>
        <w:rPr>
          <w:rFonts w:hint="eastAsia"/>
          <w:b/>
          <w:bCs/>
          <w:color w:val="auto"/>
          <w:sz w:val="28"/>
          <w:szCs w:val="36"/>
          <w:lang w:val="en-US" w:eastAsia="zh-CN"/>
        </w:rPr>
        <w:t xml:space="preserve">                             竞买方</w:t>
      </w:r>
      <w:r>
        <w:rPr>
          <w:rFonts w:hint="eastAsia"/>
          <w:b/>
          <w:bCs/>
          <w:color w:val="auto"/>
          <w:sz w:val="28"/>
          <w:szCs w:val="36"/>
        </w:rPr>
        <w:t>（</w:t>
      </w:r>
      <w:r>
        <w:rPr>
          <w:rFonts w:hint="eastAsia"/>
          <w:b/>
          <w:bCs/>
          <w:color w:val="auto"/>
          <w:sz w:val="28"/>
          <w:szCs w:val="36"/>
          <w:lang w:val="en-US" w:eastAsia="zh-CN"/>
        </w:rPr>
        <w:t>签</w:t>
      </w:r>
      <w:r>
        <w:rPr>
          <w:rFonts w:hint="eastAsia"/>
          <w:b/>
          <w:bCs/>
          <w:color w:val="auto"/>
          <w:sz w:val="28"/>
          <w:szCs w:val="36"/>
        </w:rPr>
        <w:t xml:space="preserve">章）：     </w:t>
      </w:r>
    </w:p>
    <w:p w14:paraId="5FCD391D">
      <w:pPr>
        <w:keepNext w:val="0"/>
        <w:keepLines w:val="0"/>
        <w:pageBreakBefore w:val="0"/>
        <w:widowControl w:val="0"/>
        <w:kinsoku/>
        <w:overflowPunct/>
        <w:topLinePunct w:val="0"/>
        <w:autoSpaceDE/>
        <w:autoSpaceDN/>
        <w:bidi w:val="0"/>
        <w:adjustRightInd/>
        <w:snapToGrid/>
        <w:spacing w:line="590" w:lineRule="exact"/>
        <w:ind w:firstLine="562" w:firstLineChars="200"/>
        <w:textAlignment w:val="auto"/>
        <w:rPr>
          <w:color w:val="auto"/>
        </w:rPr>
      </w:pPr>
      <w:r>
        <w:rPr>
          <w:rFonts w:hint="eastAsia"/>
          <w:b/>
          <w:bCs/>
          <w:color w:val="auto"/>
          <w:sz w:val="28"/>
          <w:szCs w:val="36"/>
        </w:rPr>
        <w:t xml:space="preserve">                         </w:t>
      </w:r>
      <w:r>
        <w:rPr>
          <w:rFonts w:hint="eastAsia"/>
          <w:b/>
          <w:bCs/>
          <w:color w:val="auto"/>
          <w:sz w:val="28"/>
          <w:szCs w:val="36"/>
          <w:lang w:val="en-US" w:eastAsia="zh-CN"/>
        </w:rPr>
        <w:t xml:space="preserve">       </w:t>
      </w:r>
      <w:r>
        <w:rPr>
          <w:rFonts w:hint="eastAsia"/>
          <w:b/>
          <w:bCs/>
          <w:color w:val="auto"/>
          <w:sz w:val="28"/>
          <w:szCs w:val="36"/>
        </w:rPr>
        <w:t xml:space="preserve">   </w:t>
      </w:r>
      <w:r>
        <w:rPr>
          <w:rFonts w:hint="eastAsia"/>
          <w:b/>
          <w:bCs/>
          <w:color w:val="auto"/>
          <w:sz w:val="28"/>
          <w:szCs w:val="36"/>
          <w:u w:val="single"/>
        </w:rPr>
        <w:t xml:space="preserve"> </w:t>
      </w:r>
      <w:r>
        <w:rPr>
          <w:rFonts w:hint="eastAsia"/>
          <w:b/>
          <w:bCs/>
          <w:color w:val="auto"/>
          <w:sz w:val="28"/>
          <w:szCs w:val="36"/>
          <w:u w:val="single"/>
          <w:lang w:val="en-US" w:eastAsia="zh-CN"/>
        </w:rPr>
        <w:t xml:space="preserve">    </w:t>
      </w:r>
      <w:r>
        <w:rPr>
          <w:rFonts w:hint="eastAsia"/>
          <w:b/>
          <w:bCs/>
          <w:color w:val="auto"/>
          <w:sz w:val="28"/>
          <w:szCs w:val="36"/>
        </w:rPr>
        <w:t>年</w:t>
      </w:r>
      <w:r>
        <w:rPr>
          <w:rFonts w:hint="eastAsia"/>
          <w:b/>
          <w:bCs/>
          <w:color w:val="auto"/>
          <w:sz w:val="28"/>
          <w:szCs w:val="36"/>
          <w:u w:val="single"/>
          <w:lang w:val="en-US" w:eastAsia="zh-CN"/>
        </w:rPr>
        <w:t xml:space="preserve">    </w:t>
      </w:r>
      <w:r>
        <w:rPr>
          <w:rFonts w:hint="eastAsia"/>
          <w:b/>
          <w:bCs/>
          <w:color w:val="auto"/>
          <w:sz w:val="28"/>
          <w:szCs w:val="36"/>
        </w:rPr>
        <w:t>月</w:t>
      </w:r>
      <w:r>
        <w:rPr>
          <w:rFonts w:hint="eastAsia"/>
          <w:b/>
          <w:bCs/>
          <w:color w:val="auto"/>
          <w:sz w:val="28"/>
          <w:szCs w:val="36"/>
          <w:u w:val="single"/>
          <w:lang w:val="en-US" w:eastAsia="zh-CN"/>
        </w:rPr>
        <w:t xml:space="preserve">    </w:t>
      </w:r>
      <w:r>
        <w:rPr>
          <w:rFonts w:hint="eastAsia"/>
          <w:b/>
          <w:bCs/>
          <w:color w:val="auto"/>
          <w:sz w:val="28"/>
          <w:szCs w:val="36"/>
        </w:rPr>
        <w:t xml:space="preserve">日  </w:t>
      </w:r>
    </w:p>
    <w:p w14:paraId="32F9712E">
      <w:pPr>
        <w:pStyle w:val="8"/>
        <w:rPr>
          <w:rFonts w:hint="eastAsia" w:eastAsiaTheme="minorEastAsia"/>
          <w:color w:val="auto"/>
          <w:lang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roma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62C1D50E-5F9D-4DCE-9B76-B5FEADE63017}"/>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Verdana">
    <w:panose1 w:val="020B0604030504040204"/>
    <w:charset w:val="00"/>
    <w:family w:val="swiss"/>
    <w:pitch w:val="default"/>
    <w:sig w:usb0="A00006FF" w:usb1="4000205B" w:usb2="00000010" w:usb3="00000000" w:csb0="2000019F" w:csb1="00000000"/>
  </w:font>
  <w:font w:name="??_GB2312">
    <w:altName w:val="Segoe Print"/>
    <w:panose1 w:val="00000000000000000000"/>
    <w:charset w:val="00"/>
    <w:family w:val="auto"/>
    <w:pitch w:val="default"/>
    <w:sig w:usb0="00000000" w:usb1="00000000" w:usb2="00000000" w:usb3="00000000" w:csb0="00000001" w:csb1="00000000"/>
  </w:font>
  <w:font w:name="Segoe Print">
    <w:panose1 w:val="02000600000000000000"/>
    <w:charset w:val="00"/>
    <w:family w:val="auto"/>
    <w:pitch w:val="default"/>
    <w:sig w:usb0="0000028F" w:usb1="00000000" w:usb2="00000000" w:usb3="00000000" w:csb0="2000009F" w:csb1="47010000"/>
  </w:font>
  <w:font w:name="新宋体">
    <w:panose1 w:val="02010609030101010101"/>
    <w:charset w:val="86"/>
    <w:family w:val="modern"/>
    <w:pitch w:val="default"/>
    <w:sig w:usb0="00000203" w:usb1="288F0000" w:usb2="00000006" w:usb3="00000000" w:csb0="00040001" w:csb1="00000000"/>
    <w:embedRegular r:id="rId2" w:fontKey="{13DEDBC0-81DC-4A5E-B702-249362097986}"/>
  </w:font>
  <w:font w:name="仿宋_GB2312">
    <w:panose1 w:val="02010609030101010101"/>
    <w:charset w:val="86"/>
    <w:family w:val="modern"/>
    <w:pitch w:val="default"/>
    <w:sig w:usb0="00000001" w:usb1="080E0000" w:usb2="00000000" w:usb3="00000000" w:csb0="00040000" w:csb1="00000000"/>
    <w:embedRegular r:id="rId3" w:fontKey="{9254748A-B6C6-4D14-A395-97103F1E087C}"/>
  </w:font>
  <w:font w:name="方正小标宋简体">
    <w:panose1 w:val="02000000000000000000"/>
    <w:charset w:val="86"/>
    <w:family w:val="auto"/>
    <w:pitch w:val="default"/>
    <w:sig w:usb0="00000001" w:usb1="08000000" w:usb2="00000000" w:usb3="00000000" w:csb0="00040000" w:csb1="00000000"/>
    <w:embedRegular r:id="rId4" w:fontKey="{6EE9670F-1400-499D-830E-AA9D7F7205AB}"/>
  </w:font>
  <w:font w:name="WPSEMBED1">
    <w:panose1 w:val="02000000000000000000"/>
    <w:charset w:val="86"/>
    <w:family w:val="auto"/>
    <w:pitch w:val="default"/>
    <w:sig w:usb0="00000001" w:usb1="08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4E9FDB2">
    <w:pPr>
      <w:pStyle w:val="9"/>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FCB2653">
                          <w:pPr>
                            <w:pStyle w:val="9"/>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4FCB2653">
                    <w:pPr>
                      <w:pStyle w:val="9"/>
                    </w:pPr>
                    <w:r>
                      <w:fldChar w:fldCharType="begin"/>
                    </w:r>
                    <w:r>
                      <w:instrText xml:space="preserve"> PAGE  \* MERGEFORMAT </w:instrText>
                    </w:r>
                    <w:r>
                      <w:fldChar w:fldCharType="separate"/>
                    </w:r>
                    <w:r>
                      <w:t>1</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80170C7">
    <w:pPr>
      <w:pStyle w:val="1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6951A27"/>
    <w:multiLevelType w:val="singleLevel"/>
    <w:tmpl w:val="26951A27"/>
    <w:lvl w:ilvl="0" w:tentative="0">
      <w:start w:val="1"/>
      <w:numFmt w:val="chineseCounting"/>
      <w:suff w:val="nothing"/>
      <w:lvlText w:val="%1、"/>
      <w:lvlJc w:val="left"/>
      <w:rPr>
        <w:rFonts w:hint="eastAsia"/>
      </w:rPr>
    </w:lvl>
  </w:abstractNum>
  <w:abstractNum w:abstractNumId="1">
    <w:nsid w:val="37D6132D"/>
    <w:multiLevelType w:val="singleLevel"/>
    <w:tmpl w:val="37D6132D"/>
    <w:lvl w:ilvl="0" w:tentative="0">
      <w:start w:val="2"/>
      <w:numFmt w:val="decimal"/>
      <w:suff w:val="nothing"/>
      <w:lvlText w:val="%1、"/>
      <w:lvlJc w:val="left"/>
    </w:lvl>
  </w:abstractNum>
  <w:abstractNum w:abstractNumId="2">
    <w:nsid w:val="53B4F8FB"/>
    <w:multiLevelType w:val="singleLevel"/>
    <w:tmpl w:val="53B4F8FB"/>
    <w:lvl w:ilvl="0" w:tentative="0">
      <w:start w:val="1"/>
      <w:numFmt w:val="chineseCounting"/>
      <w:suff w:val="nothing"/>
      <w:lvlText w:val="%1、"/>
      <w:lvlJc w:val="left"/>
      <w:rPr>
        <w:rFonts w:hint="eastAsia" w:ascii="宋体" w:hAnsi="宋体" w:eastAsia="宋体" w:cs="宋体"/>
        <w:b/>
        <w:bCs/>
        <w:color w:val="000000" w:themeColor="text1"/>
        <w:sz w:val="28"/>
        <w:szCs w:val="28"/>
        <w14:textFill>
          <w14:solidFill>
            <w14:schemeClr w14:val="tx1"/>
          </w14:solidFill>
        </w14:textFill>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zVkODQ0YmViZGVjNGM4Y2VlODQ3MTAxOGU0MzYyNmIifQ=="/>
    <w:docVar w:name="KSO_WPS_MARK_KEY" w:val="a071b07a-f89d-47b9-a9e7-8c7759051b1b"/>
  </w:docVars>
  <w:rsids>
    <w:rsidRoot w:val="00125DA0"/>
    <w:rsid w:val="00075E67"/>
    <w:rsid w:val="00125DA0"/>
    <w:rsid w:val="00167AC6"/>
    <w:rsid w:val="00B57B36"/>
    <w:rsid w:val="00CD7376"/>
    <w:rsid w:val="00E03B4E"/>
    <w:rsid w:val="00E541D7"/>
    <w:rsid w:val="02670C2E"/>
    <w:rsid w:val="03F37316"/>
    <w:rsid w:val="042277FF"/>
    <w:rsid w:val="051261E1"/>
    <w:rsid w:val="07B63111"/>
    <w:rsid w:val="08C35008"/>
    <w:rsid w:val="0A8721A0"/>
    <w:rsid w:val="0B282D55"/>
    <w:rsid w:val="0B7B2128"/>
    <w:rsid w:val="0B985CD3"/>
    <w:rsid w:val="0E564FED"/>
    <w:rsid w:val="0E68572F"/>
    <w:rsid w:val="0E844FD8"/>
    <w:rsid w:val="0E9816ED"/>
    <w:rsid w:val="102F0E28"/>
    <w:rsid w:val="10396E71"/>
    <w:rsid w:val="11DE52CB"/>
    <w:rsid w:val="13100E81"/>
    <w:rsid w:val="13190A50"/>
    <w:rsid w:val="150A3847"/>
    <w:rsid w:val="152E01F2"/>
    <w:rsid w:val="164D1EE7"/>
    <w:rsid w:val="18E10F33"/>
    <w:rsid w:val="1A0C35CC"/>
    <w:rsid w:val="1BC73AA5"/>
    <w:rsid w:val="1C3F00EA"/>
    <w:rsid w:val="2163678E"/>
    <w:rsid w:val="21D0732F"/>
    <w:rsid w:val="2371316C"/>
    <w:rsid w:val="23C4301C"/>
    <w:rsid w:val="23C7578D"/>
    <w:rsid w:val="24475A26"/>
    <w:rsid w:val="264204D7"/>
    <w:rsid w:val="2741574C"/>
    <w:rsid w:val="285A0FDC"/>
    <w:rsid w:val="2C765212"/>
    <w:rsid w:val="2D136F02"/>
    <w:rsid w:val="2D2D1D13"/>
    <w:rsid w:val="2DC931AE"/>
    <w:rsid w:val="2E1172D3"/>
    <w:rsid w:val="30B56AE1"/>
    <w:rsid w:val="32375E5F"/>
    <w:rsid w:val="327E6635"/>
    <w:rsid w:val="32F36A04"/>
    <w:rsid w:val="34EA64B9"/>
    <w:rsid w:val="3516702D"/>
    <w:rsid w:val="356B5D48"/>
    <w:rsid w:val="37E601A9"/>
    <w:rsid w:val="382927E2"/>
    <w:rsid w:val="386E6406"/>
    <w:rsid w:val="39204F82"/>
    <w:rsid w:val="3A7A2C02"/>
    <w:rsid w:val="3A9F7B13"/>
    <w:rsid w:val="3C790024"/>
    <w:rsid w:val="3EE84C2D"/>
    <w:rsid w:val="3F171CEB"/>
    <w:rsid w:val="3F595A04"/>
    <w:rsid w:val="41070082"/>
    <w:rsid w:val="412C3FBC"/>
    <w:rsid w:val="41730E45"/>
    <w:rsid w:val="43315BEC"/>
    <w:rsid w:val="433672AA"/>
    <w:rsid w:val="43AD1C7C"/>
    <w:rsid w:val="43CA2EA3"/>
    <w:rsid w:val="43E145E7"/>
    <w:rsid w:val="44912C24"/>
    <w:rsid w:val="47C03328"/>
    <w:rsid w:val="48601C27"/>
    <w:rsid w:val="4C122427"/>
    <w:rsid w:val="4D440E1C"/>
    <w:rsid w:val="4DC33073"/>
    <w:rsid w:val="4E3F7559"/>
    <w:rsid w:val="4ECE0172"/>
    <w:rsid w:val="51516E47"/>
    <w:rsid w:val="51A46EB2"/>
    <w:rsid w:val="52531DCC"/>
    <w:rsid w:val="52E5627D"/>
    <w:rsid w:val="541B4188"/>
    <w:rsid w:val="56073B1A"/>
    <w:rsid w:val="5CF93C67"/>
    <w:rsid w:val="5E084751"/>
    <w:rsid w:val="612658FC"/>
    <w:rsid w:val="6180235A"/>
    <w:rsid w:val="61A86601"/>
    <w:rsid w:val="62143ECA"/>
    <w:rsid w:val="62AC763E"/>
    <w:rsid w:val="64515E2E"/>
    <w:rsid w:val="64D61FAB"/>
    <w:rsid w:val="66C801A8"/>
    <w:rsid w:val="67281D31"/>
    <w:rsid w:val="69462C0F"/>
    <w:rsid w:val="6963439A"/>
    <w:rsid w:val="6C0E3CC0"/>
    <w:rsid w:val="6C2445E8"/>
    <w:rsid w:val="6E49135B"/>
    <w:rsid w:val="6F71073E"/>
    <w:rsid w:val="705B7E5D"/>
    <w:rsid w:val="72D17B5C"/>
    <w:rsid w:val="730A3838"/>
    <w:rsid w:val="73ED1367"/>
    <w:rsid w:val="77E20C53"/>
    <w:rsid w:val="786A7F85"/>
    <w:rsid w:val="791505B4"/>
    <w:rsid w:val="7A24720F"/>
    <w:rsid w:val="7A7C6A82"/>
    <w:rsid w:val="7BFC47DB"/>
    <w:rsid w:val="7E05604E"/>
    <w:rsid w:val="7E691B98"/>
    <w:rsid w:val="7EA14B4B"/>
    <w:rsid w:val="7EC1633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9" w:semiHidden="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qFormat="1"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3">
    <w:name w:val="heading 2"/>
    <w:basedOn w:val="1"/>
    <w:next w:val="1"/>
    <w:qFormat/>
    <w:uiPriority w:val="0"/>
    <w:pPr>
      <w:keepNext/>
      <w:keepLines/>
      <w:spacing w:before="260" w:after="260" w:line="413" w:lineRule="auto"/>
      <w:jc w:val="center"/>
      <w:outlineLvl w:val="1"/>
    </w:pPr>
    <w:rPr>
      <w:rFonts w:ascii="Cambria" w:hAnsi="Cambria" w:eastAsia="黑体"/>
      <w:b/>
      <w:kern w:val="0"/>
      <w:sz w:val="36"/>
      <w:szCs w:val="20"/>
    </w:rPr>
  </w:style>
  <w:style w:type="paragraph" w:styleId="4">
    <w:name w:val="heading 3"/>
    <w:basedOn w:val="1"/>
    <w:next w:val="1"/>
    <w:unhideWhenUsed/>
    <w:qFormat/>
    <w:uiPriority w:val="9"/>
    <w:pPr>
      <w:keepNext/>
      <w:keepLines/>
      <w:spacing w:before="260" w:after="260" w:line="416" w:lineRule="auto"/>
      <w:outlineLvl w:val="2"/>
    </w:pPr>
    <w:rPr>
      <w:b/>
      <w:bCs/>
      <w:sz w:val="32"/>
      <w:szCs w:val="32"/>
    </w:rPr>
  </w:style>
  <w:style w:type="paragraph" w:styleId="5">
    <w:name w:val="heading 4"/>
    <w:basedOn w:val="1"/>
    <w:next w:val="1"/>
    <w:qFormat/>
    <w:uiPriority w:val="0"/>
    <w:pPr>
      <w:keepNext/>
      <w:keepLines/>
      <w:spacing w:before="280" w:after="290" w:line="372" w:lineRule="auto"/>
      <w:outlineLvl w:val="3"/>
    </w:pPr>
    <w:rPr>
      <w:rFonts w:ascii="Arial" w:hAnsi="Arial" w:eastAsia="黑体"/>
      <w:b/>
      <w:sz w:val="28"/>
    </w:rPr>
  </w:style>
  <w:style w:type="character" w:default="1" w:styleId="13">
    <w:name w:val="Default Paragraph Font"/>
    <w:semiHidden/>
    <w:unhideWhenUsed/>
    <w:qFormat/>
    <w:uiPriority w:val="1"/>
  </w:style>
  <w:style w:type="table" w:default="1" w:styleId="12">
    <w:name w:val="Normal Table"/>
    <w:semiHidden/>
    <w:unhideWhenUsed/>
    <w:qFormat/>
    <w:uiPriority w:val="99"/>
    <w:tblPr>
      <w:tblCellMar>
        <w:top w:w="0" w:type="dxa"/>
        <w:left w:w="108" w:type="dxa"/>
        <w:bottom w:w="0" w:type="dxa"/>
        <w:right w:w="108" w:type="dxa"/>
      </w:tblCellMar>
    </w:tblPr>
  </w:style>
  <w:style w:type="paragraph" w:styleId="2">
    <w:name w:val="Message Header"/>
    <w:basedOn w:val="1"/>
    <w:next w:val="1"/>
    <w:qFormat/>
    <w:uiPriority w:val="0"/>
    <w:pPr>
      <w:pBdr>
        <w:top w:val="none" w:color="auto" w:sz="0" w:space="1"/>
        <w:left w:val="none" w:color="auto" w:sz="0" w:space="1"/>
        <w:bottom w:val="none" w:color="auto" w:sz="0" w:space="1"/>
        <w:right w:val="none" w:color="auto" w:sz="0" w:space="1"/>
      </w:pBdr>
      <w:ind w:left="1080" w:leftChars="500" w:hanging="1080" w:hangingChars="500"/>
    </w:pPr>
    <w:rPr>
      <w:rFonts w:ascii="Arial" w:hAnsi="Arial"/>
      <w:sz w:val="24"/>
    </w:rPr>
  </w:style>
  <w:style w:type="paragraph" w:styleId="6">
    <w:name w:val="Normal Indent"/>
    <w:basedOn w:val="1"/>
    <w:qFormat/>
    <w:uiPriority w:val="0"/>
    <w:pPr>
      <w:ind w:firstLine="420"/>
    </w:pPr>
    <w:rPr>
      <w:rFonts w:ascii="Verdana" w:hAnsi="Verdana"/>
      <w:szCs w:val="20"/>
    </w:rPr>
  </w:style>
  <w:style w:type="paragraph" w:styleId="7">
    <w:name w:val="annotation text"/>
    <w:basedOn w:val="1"/>
    <w:qFormat/>
    <w:uiPriority w:val="0"/>
    <w:pPr>
      <w:jc w:val="left"/>
    </w:pPr>
  </w:style>
  <w:style w:type="paragraph" w:styleId="8">
    <w:name w:val="Body Text"/>
    <w:basedOn w:val="1"/>
    <w:qFormat/>
    <w:uiPriority w:val="0"/>
    <w:pPr>
      <w:spacing w:after="120"/>
    </w:pPr>
  </w:style>
  <w:style w:type="paragraph" w:styleId="9">
    <w:name w:val="footer"/>
    <w:basedOn w:val="1"/>
    <w:link w:val="20"/>
    <w:qFormat/>
    <w:uiPriority w:val="0"/>
    <w:pPr>
      <w:tabs>
        <w:tab w:val="center" w:pos="4153"/>
        <w:tab w:val="right" w:pos="8306"/>
      </w:tabs>
      <w:snapToGrid w:val="0"/>
      <w:jc w:val="left"/>
    </w:pPr>
    <w:rPr>
      <w:sz w:val="18"/>
      <w:szCs w:val="18"/>
    </w:rPr>
  </w:style>
  <w:style w:type="paragraph" w:styleId="10">
    <w:name w:val="header"/>
    <w:basedOn w:val="1"/>
    <w:link w:val="19"/>
    <w:qFormat/>
    <w:uiPriority w:val="0"/>
    <w:pPr>
      <w:tabs>
        <w:tab w:val="center" w:pos="4153"/>
        <w:tab w:val="right" w:pos="8306"/>
      </w:tabs>
      <w:snapToGrid w:val="0"/>
      <w:jc w:val="center"/>
    </w:pPr>
    <w:rPr>
      <w:sz w:val="18"/>
      <w:szCs w:val="18"/>
    </w:rPr>
  </w:style>
  <w:style w:type="paragraph" w:styleId="11">
    <w:name w:val="Normal (Web)"/>
    <w:basedOn w:val="1"/>
    <w:qFormat/>
    <w:uiPriority w:val="0"/>
    <w:pPr>
      <w:spacing w:beforeAutospacing="1" w:afterAutospacing="1"/>
      <w:jc w:val="left"/>
    </w:pPr>
    <w:rPr>
      <w:rFonts w:cs="Times New Roman"/>
      <w:kern w:val="0"/>
      <w:sz w:val="24"/>
    </w:rPr>
  </w:style>
  <w:style w:type="character" w:styleId="14">
    <w:name w:val="Strong"/>
    <w:basedOn w:val="13"/>
    <w:qFormat/>
    <w:uiPriority w:val="0"/>
    <w:rPr>
      <w:b/>
    </w:rPr>
  </w:style>
  <w:style w:type="character" w:customStyle="1" w:styleId="15">
    <w:name w:val="标题4 Char"/>
    <w:link w:val="16"/>
    <w:qFormat/>
    <w:locked/>
    <w:uiPriority w:val="0"/>
    <w:rPr>
      <w:rFonts w:eastAsia="宋体"/>
      <w:kern w:val="0"/>
      <w:sz w:val="36"/>
      <w:szCs w:val="20"/>
    </w:rPr>
  </w:style>
  <w:style w:type="paragraph" w:customStyle="1" w:styleId="16">
    <w:name w:val="标题4"/>
    <w:basedOn w:val="5"/>
    <w:link w:val="15"/>
    <w:qFormat/>
    <w:uiPriority w:val="0"/>
    <w:rPr>
      <w:rFonts w:eastAsia="宋体"/>
      <w:kern w:val="0"/>
      <w:sz w:val="36"/>
      <w:szCs w:val="20"/>
    </w:rPr>
  </w:style>
  <w:style w:type="paragraph" w:customStyle="1" w:styleId="17">
    <w:name w:val="样式 标题 1 + 首行缩进:  2 字符"/>
    <w:next w:val="1"/>
    <w:qFormat/>
    <w:uiPriority w:val="0"/>
    <w:pPr>
      <w:widowControl w:val="0"/>
      <w:jc w:val="both"/>
    </w:pPr>
    <w:rPr>
      <w:rFonts w:ascii="??_GB2312" w:hAnsi="Times New Roman" w:eastAsia="Times New Roman" w:cs="Times New Roman"/>
      <w:bCs/>
      <w:kern w:val="2"/>
      <w:sz w:val="21"/>
      <w:szCs w:val="44"/>
      <w:lang w:val="en-US" w:eastAsia="zh-CN" w:bidi="ar-SA"/>
    </w:rPr>
  </w:style>
  <w:style w:type="paragraph" w:customStyle="1" w:styleId="18">
    <w:name w:val="WPSOffice手动目录 1"/>
    <w:qFormat/>
    <w:uiPriority w:val="0"/>
    <w:rPr>
      <w:rFonts w:asciiTheme="minorHAnsi" w:hAnsiTheme="minorHAnsi" w:eastAsiaTheme="minorEastAsia" w:cstheme="minorBidi"/>
      <w:lang w:val="en-US" w:eastAsia="zh-CN" w:bidi="ar-SA"/>
    </w:rPr>
  </w:style>
  <w:style w:type="character" w:customStyle="1" w:styleId="19">
    <w:name w:val="页眉 字符"/>
    <w:basedOn w:val="13"/>
    <w:link w:val="10"/>
    <w:qFormat/>
    <w:uiPriority w:val="0"/>
    <w:rPr>
      <w:rFonts w:asciiTheme="minorHAnsi" w:hAnsiTheme="minorHAnsi" w:eastAsiaTheme="minorEastAsia" w:cstheme="minorBidi"/>
      <w:kern w:val="2"/>
      <w:sz w:val="18"/>
      <w:szCs w:val="18"/>
    </w:rPr>
  </w:style>
  <w:style w:type="character" w:customStyle="1" w:styleId="20">
    <w:name w:val="页脚 字符"/>
    <w:basedOn w:val="13"/>
    <w:link w:val="9"/>
    <w:qFormat/>
    <w:uiPriority w:val="0"/>
    <w:rPr>
      <w:rFonts w:asciiTheme="minorHAnsi" w:hAnsiTheme="minorHAnsi" w:eastAsiaTheme="minorEastAsia" w:cstheme="minorBidi"/>
      <w:kern w:val="2"/>
      <w:sz w:val="18"/>
      <w:szCs w:val="18"/>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15</Pages>
  <Words>664</Words>
  <Characters>714</Characters>
  <Lines>59</Lines>
  <Paragraphs>16</Paragraphs>
  <TotalTime>3</TotalTime>
  <ScaleCrop>false</ScaleCrop>
  <LinksUpToDate>false</LinksUpToDate>
  <CharactersWithSpaces>715</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2024-02-19T06:17:00Z</dcterms:created>
  <dc:creator>Administrator</dc:creator>
  <cp:lastModifiedBy>叫醒耳朵</cp:lastModifiedBy>
  <cp:lastPrinted>2025-08-15T02:40:00Z</cp:lastPrinted>
  <dcterms:modified xsi:type="dcterms:W3CDTF">2026-10-30T09:37:23Z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F06D31BA31384C43B133C2B0274500F7_13</vt:lpwstr>
  </property>
  <property fmtid="{D5CDD505-2E9C-101B-9397-08002B2CF9AE}" pid="4" name="KSOTemplateDocerSaveRecord">
    <vt:lpwstr>eyJoZGlkIjoiMTlkZDU4ZTU5ZWQ4Zjk0OTJiMzg5OTZkYzE3YjZiMTMiLCJ1c2VySWQiOiI5ODE2OTMzOTYifQ==</vt:lpwstr>
  </property>
</Properties>
</file>