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rPr>
          <w:rFonts w:ascii="黑体" w:hAnsi="黑体"/>
          <w:color w:val="000000"/>
        </w:rPr>
      </w:pPr>
      <w:bookmarkStart w:id="0" w:name="_Toc20910"/>
      <w:bookmarkStart w:id="1" w:name="_Toc11918"/>
      <w:bookmarkStart w:id="2" w:name="_Toc15737"/>
      <w:bookmarkStart w:id="3" w:name="_Toc21422"/>
      <w:bookmarkStart w:id="4" w:name="_Toc32320"/>
      <w:bookmarkStart w:id="5" w:name="_Toc21762"/>
      <w:bookmarkStart w:id="6" w:name="_Toc24454"/>
      <w:bookmarkStart w:id="7" w:name="_Toc20033"/>
      <w:bookmarkStart w:id="8" w:name="_Toc25712"/>
      <w:bookmarkStart w:id="9" w:name="_Toc24727"/>
      <w:bookmarkStart w:id="10" w:name="_Toc8396"/>
      <w:bookmarkStart w:id="11" w:name="_Toc24068"/>
      <w:bookmarkStart w:id="12" w:name="_Toc12789"/>
      <w:bookmarkStart w:id="13" w:name="_Toc13462"/>
      <w:bookmarkStart w:id="14" w:name="_Toc7615"/>
      <w:bookmarkStart w:id="15" w:name="_Toc29002"/>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lang w:val="en-US" w:eastAsia="zh-CN"/>
        </w:rPr>
        <w:t>昌江县海尾镇原南罗粮所新港门市部房屋面积122㎡（土地面积694.88㎡）出租</w:t>
      </w:r>
      <w:r>
        <w:rPr>
          <w:rFonts w:hint="eastAsia" w:ascii="新宋体" w:hAnsi="新宋体" w:eastAsia="新宋体"/>
          <w:b/>
          <w:bCs/>
          <w:color w:val="000000" w:themeColor="text1"/>
          <w:sz w:val="28"/>
          <w:szCs w:val="28"/>
          <w:lang w:val="en-US" w:eastAsia="zh-CN"/>
          <w14:textFill>
            <w14:solidFill>
              <w14:schemeClr w14:val="tx1"/>
            </w14:solidFill>
          </w14:textFill>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昌江农村产权交易中心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昌江农村产权交易中心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16日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7200元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03"/>
        <w:gridCol w:w="2524"/>
        <w:gridCol w:w="2769"/>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8" w:type="dxa"/>
          </w:tcPr>
          <w:p w14:paraId="7B4B4D96">
            <w:pPr>
              <w:jc w:val="left"/>
              <w:outlineLvl w:val="0"/>
              <w:rPr>
                <w:rFonts w:hint="default" w:ascii="新宋体" w:hAnsi="新宋体" w:eastAsia="新宋体"/>
                <w:b w:val="0"/>
                <w:bCs w:val="0"/>
                <w:color w:val="000000" w:themeColor="text1"/>
                <w:sz w:val="28"/>
                <w:szCs w:val="28"/>
                <w:lang w:val="en-US" w:eastAsia="zh-CN"/>
                <w14:textFill>
                  <w14:solidFill>
                    <w14:schemeClr w14:val="tx1"/>
                  </w14:solidFill>
                </w14:textFill>
              </w:rPr>
            </w:pPr>
            <w:r>
              <w:rPr>
                <w:rFonts w:hint="eastAsia" w:ascii="新宋体" w:hAnsi="新宋体" w:eastAsia="新宋体"/>
                <w:b/>
                <w:bCs/>
                <w:color w:val="C00000"/>
                <w:sz w:val="28"/>
                <w:szCs w:val="28"/>
                <w:lang w:val="en-US" w:eastAsia="zh-CN"/>
              </w:rPr>
              <w:t>昌江县海尾镇原南罗粮所新港门市部房屋面积122㎡（土地面积694.88㎡）出租</w:t>
            </w:r>
          </w:p>
        </w:tc>
        <w:tc>
          <w:tcPr>
            <w:tcW w:w="2603" w:type="dxa"/>
            <w:vAlign w:val="top"/>
          </w:tcPr>
          <w:p w14:paraId="1D86C4BF">
            <w:pPr>
              <w:numPr>
                <w:ilvl w:val="0"/>
                <w:numId w:val="0"/>
              </w:numPr>
              <w:spacing w:line="240" w:lineRule="auto"/>
              <w:ind w:leftChars="0"/>
              <w:jc w:val="both"/>
              <w:rPr>
                <w:rFonts w:hint="eastAsia" w:ascii="新宋体" w:hAnsi="新宋体" w:eastAsia="新宋体"/>
                <w:b w:val="0"/>
                <w:bCs w:val="0"/>
                <w:color w:val="000000" w:themeColor="text1"/>
                <w:sz w:val="28"/>
                <w:szCs w:val="28"/>
                <w:lang w:val="en-US" w:eastAsia="zh-CN"/>
                <w14:textFill>
                  <w14:solidFill>
                    <w14:schemeClr w14:val="tx1"/>
                  </w14:solidFill>
                </w14:textFill>
              </w:rPr>
            </w:pPr>
          </w:p>
          <w:p w14:paraId="47CFF2F1">
            <w:pPr>
              <w:numPr>
                <w:ilvl w:val="0"/>
                <w:numId w:val="0"/>
              </w:numPr>
              <w:spacing w:line="240" w:lineRule="auto"/>
              <w:ind w:leftChars="0"/>
              <w:jc w:val="center"/>
              <w:rPr>
                <w:rFonts w:hint="default" w:ascii="新宋体" w:hAnsi="新宋体" w:eastAsia="新宋体"/>
                <w:b w:val="0"/>
                <w:bCs w:val="0"/>
                <w:color w:val="000000" w:themeColor="text1"/>
                <w:sz w:val="28"/>
                <w:szCs w:val="28"/>
                <w:lang w:val="en-US" w:eastAsia="zh-CN"/>
                <w14:textFill>
                  <w14:solidFill>
                    <w14:schemeClr w14:val="tx1"/>
                  </w14:solidFill>
                </w14:textFill>
              </w:rPr>
            </w:pPr>
            <w:r>
              <w:rPr>
                <w:rFonts w:hint="eastAsia" w:ascii="新宋体" w:hAnsi="新宋体" w:eastAsia="新宋体"/>
                <w:b w:val="0"/>
                <w:bCs w:val="0"/>
                <w:color w:val="000000" w:themeColor="text1"/>
                <w:sz w:val="28"/>
                <w:szCs w:val="28"/>
                <w:lang w:val="en-US" w:eastAsia="zh-CN"/>
                <w14:textFill>
                  <w14:solidFill>
                    <w14:schemeClr w14:val="tx1"/>
                  </w14:solidFill>
                </w14:textFill>
              </w:rPr>
              <w:t>9年</w:t>
            </w:r>
          </w:p>
        </w:tc>
        <w:tc>
          <w:tcPr>
            <w:tcW w:w="2841" w:type="dxa"/>
            <w:vAlign w:val="top"/>
          </w:tcPr>
          <w:p w14:paraId="7F01D475">
            <w:pPr>
              <w:numPr>
                <w:ilvl w:val="0"/>
                <w:numId w:val="0"/>
              </w:numPr>
              <w:spacing w:line="240" w:lineRule="auto"/>
              <w:ind w:leftChars="0"/>
              <w:jc w:val="both"/>
              <w:rPr>
                <w:rFonts w:hint="eastAsia" w:ascii="新宋体" w:hAnsi="新宋体" w:eastAsia="新宋体"/>
                <w:b w:val="0"/>
                <w:bCs w:val="0"/>
                <w:color w:val="000000" w:themeColor="text1"/>
                <w:sz w:val="28"/>
                <w:szCs w:val="28"/>
                <w:lang w:val="en-US" w:eastAsia="zh-CN"/>
                <w14:textFill>
                  <w14:solidFill>
                    <w14:schemeClr w14:val="tx1"/>
                  </w14:solidFill>
                </w14:textFill>
              </w:rPr>
            </w:pPr>
          </w:p>
          <w:p w14:paraId="1ED50537">
            <w:pPr>
              <w:numPr>
                <w:ilvl w:val="0"/>
                <w:numId w:val="0"/>
              </w:numPr>
              <w:spacing w:line="240" w:lineRule="auto"/>
              <w:ind w:leftChars="0"/>
              <w:jc w:val="center"/>
              <w:rPr>
                <w:rFonts w:hint="default" w:ascii="新宋体" w:hAnsi="新宋体" w:eastAsia="新宋体" w:cs="Times New Roman"/>
                <w:b/>
                <w:bCs/>
                <w:sz w:val="28"/>
                <w:szCs w:val="28"/>
                <w:vertAlign w:val="baseline"/>
                <w:lang w:val="en-US" w:eastAsia="zh-CN"/>
              </w:rPr>
            </w:pPr>
            <w:r>
              <w:rPr>
                <w:rFonts w:hint="eastAsia" w:ascii="新宋体" w:hAnsi="新宋体" w:eastAsia="新宋体"/>
                <w:b w:val="0"/>
                <w:bCs w:val="0"/>
                <w:color w:val="000000" w:themeColor="text1"/>
                <w:sz w:val="28"/>
                <w:szCs w:val="28"/>
                <w:lang w:val="en-US" w:eastAsia="zh-CN"/>
                <w14:textFill>
                  <w14:solidFill>
                    <w14:schemeClr w14:val="tx1"/>
                  </w14:solidFill>
                </w14:textFill>
              </w:rPr>
              <w:t>25200</w:t>
            </w:r>
            <w:r>
              <w:rPr>
                <w:rFonts w:hint="default" w:ascii="新宋体" w:hAnsi="新宋体" w:eastAsia="新宋体"/>
                <w:b w:val="0"/>
                <w:bCs w:val="0"/>
                <w:color w:val="000000" w:themeColor="text1"/>
                <w:sz w:val="28"/>
                <w:szCs w:val="28"/>
                <w:lang w:val="en-US" w:eastAsia="zh-CN"/>
                <w14:textFill>
                  <w14:solidFill>
                    <w14:schemeClr w14:val="tx1"/>
                  </w14:solidFill>
                </w14:textFill>
              </w:rPr>
              <w:t>元/年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11-17日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10</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签订标的竞得书》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昌江农村产权交易中心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5</w:t>
      </w:r>
      <w:r>
        <w:rPr>
          <w:rFonts w:hint="eastAsia" w:ascii="新宋体" w:hAnsi="新宋体" w:eastAsia="新宋体" w:cs="Times New Roman"/>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6</w:t>
      </w:r>
      <w:r>
        <w:rPr>
          <w:rFonts w:hint="eastAsia" w:ascii="新宋体" w:hAnsi="新宋体" w:eastAsia="新宋体" w:cs="Times New Roman"/>
          <w:sz w:val="28"/>
          <w:szCs w:val="28"/>
        </w:rPr>
        <w:t>、其他未尽事宜，按照服务协议、交易细则、交易文件及有关规定执行。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7</w:t>
      </w:r>
      <w:r>
        <w:rPr>
          <w:rFonts w:hint="eastAsia" w:ascii="新宋体" w:hAnsi="新宋体" w:eastAsia="新宋体" w:cs="Times New Roman"/>
          <w:sz w:val="28"/>
          <w:szCs w:val="28"/>
        </w:rPr>
        <w:t>、本《网络竞价须知》有关条款的解释权归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2B7F3C6C">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jc w:val="left"/>
        <w:outlineLvl w:val="0"/>
        <w:rPr>
          <w:rFonts w:ascii="Times New Roman" w:hAnsi="Times New Roman"/>
          <w:spacing w:val="-6"/>
          <w:sz w:val="28"/>
          <w:szCs w:val="28"/>
        </w:rPr>
      </w:pPr>
      <w:r>
        <w:rPr>
          <w:rFonts w:hint="eastAsia" w:ascii="Times New Roman" w:hAnsi="Times New Roman"/>
          <w:spacing w:val="-6"/>
          <w:sz w:val="28"/>
          <w:szCs w:val="28"/>
        </w:rPr>
        <w:t>本竞买方就参与</w:t>
      </w:r>
      <w:r>
        <w:rPr>
          <w:rFonts w:hint="eastAsia" w:ascii="新宋体" w:hAnsi="新宋体" w:eastAsia="新宋体"/>
          <w:b/>
          <w:bCs/>
          <w:color w:val="C00000"/>
          <w:spacing w:val="-6"/>
          <w:sz w:val="28"/>
          <w:szCs w:val="28"/>
          <w:u w:val="single"/>
          <w:lang w:val="en-US" w:eastAsia="zh-CN"/>
        </w:rPr>
        <w:t>“昌江县海尾镇原南罗粮所新港门市部房屋面积122㎡（土地面积694.88㎡）出租”</w:t>
      </w:r>
      <w:r>
        <w:rPr>
          <w:rFonts w:hint="eastAsia" w:ascii="Times New Roman" w:hAnsi="Times New Roman"/>
          <w:spacing w:val="-6"/>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昌江县海尾镇原南罗粮所新港门市部房屋面积122㎡（土地面积694.88㎡）出租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昌江县海尾镇原南罗粮所新港门市部房屋面积122㎡（土地面积694.88㎡）出租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bookmarkStart w:id="35" w:name="_GoBack"/>
      <w:bookmarkEnd w:id="35"/>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昌江农村产权交易中心（以下简称“农交中心”）网站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changjiang</w:t>
      </w:r>
      <w:r>
        <w:rPr>
          <w:rFonts w:hint="eastAsia" w:ascii="Times New Roman" w:hAnsi="Times New Roman"/>
          <w:bCs/>
          <w:sz w:val="24"/>
        </w:rPr>
        <w:t>.nongjiao.com）申请承租（受让）</w:t>
      </w:r>
      <w:r>
        <w:rPr>
          <w:rFonts w:hint="eastAsia" w:ascii="新宋体" w:hAnsi="新宋体" w:eastAsia="新宋体"/>
          <w:b/>
          <w:bCs/>
          <w:color w:val="C00000"/>
          <w:sz w:val="28"/>
          <w:szCs w:val="28"/>
          <w:u w:val="single"/>
          <w:lang w:val="en-US" w:eastAsia="zh-CN"/>
        </w:rPr>
        <w:t>昌江县海尾镇原南罗粮所新港门市部房屋面积122㎡（土地面积694.88㎡）出租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1532"/>
      <w:bookmarkStart w:id="17" w:name="_Toc13357"/>
      <w:bookmarkStart w:id="18" w:name="_Toc28981"/>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31003"/>
      <w:bookmarkStart w:id="20" w:name="_Toc7009"/>
      <w:bookmarkStart w:id="21"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2" w:name="_Toc29057"/>
      <w:bookmarkStart w:id="23" w:name="_Toc30986"/>
      <w:bookmarkStart w:id="24" w:name="_Toc4535"/>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7" w:name="_Toc4580"/>
      <w:bookmarkStart w:id="28" w:name="_Toc13094"/>
      <w:bookmarkStart w:id="29" w:name="_Toc29841"/>
      <w:bookmarkStart w:id="30" w:name="_Toc14469"/>
      <w:bookmarkStart w:id="31" w:name="_Toc32101"/>
      <w:bookmarkStart w:id="32" w:name="_Toc11237"/>
      <w:bookmarkStart w:id="33" w:name="_Toc12264"/>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种植果树</w:t>
            </w:r>
          </w:p>
        </w:tc>
      </w:tr>
      <w:tr w14:paraId="029344FE">
        <w:tblPrEx>
          <w:tblCellMar>
            <w:top w:w="0" w:type="dxa"/>
            <w:left w:w="0" w:type="dxa"/>
            <w:bottom w:w="0" w:type="dxa"/>
            <w:right w:w="0" w:type="dxa"/>
          </w:tblCellMar>
        </w:tblPrEx>
        <w:trPr>
          <w:cantSplit/>
          <w:trHeight w:val="578"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595"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65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695"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628"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628"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661"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611"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595"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595"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661"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28A2DEE1">
      <w:pPr>
        <w:spacing w:line="570" w:lineRule="exact"/>
        <w:jc w:val="both"/>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昌江县海尾镇原南罗粮所新港门市部房屋面积122㎡（土地面积694.88㎡）出租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keepNext w:val="0"/>
        <w:keepLines w:val="0"/>
        <w:pageBreakBefore w:val="0"/>
        <w:widowControl w:val="0"/>
        <w:shd w:val="clear" w:color="auto" w:fill="auto"/>
        <w:kinsoku/>
        <w:wordWrap w:val="0"/>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昌江县昌粮储备有限公司</w:t>
      </w:r>
      <w:r>
        <w:rPr>
          <w:rFonts w:hint="eastAsia" w:asciiTheme="minorEastAsia" w:hAnsiTheme="minorEastAsia" w:eastAsiaTheme="minorEastAsia" w:cstheme="minorEastAsia"/>
          <w:sz w:val="32"/>
          <w:szCs w:val="32"/>
        </w:rPr>
        <w:t>召开的会议决议，同意</w:t>
      </w:r>
      <w:r>
        <w:rPr>
          <w:rFonts w:hint="eastAsia" w:ascii="新宋体" w:hAnsi="新宋体" w:eastAsia="新宋体"/>
          <w:b/>
          <w:bCs/>
          <w:color w:val="C00000"/>
          <w:sz w:val="28"/>
          <w:szCs w:val="28"/>
          <w:u w:val="single"/>
          <w:lang w:val="en-US" w:eastAsia="zh-CN"/>
        </w:rPr>
        <w:t>昌江县海尾镇原南罗粮所新港门市部房屋面积122㎡（土地面积694.88㎡）出租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default" w:asciiTheme="minorEastAsia" w:hAnsiTheme="minorEastAsia" w:cstheme="minorEastAsia"/>
          <w:color w:val="C00000"/>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bCs/>
          <w:color w:val="C00000"/>
          <w:sz w:val="28"/>
          <w:szCs w:val="28"/>
          <w:u w:val="none"/>
          <w:lang w:val="en-US" w:eastAsia="zh-CN"/>
        </w:rPr>
        <w:t>昌江县海尾镇原南罗粮所新港门市部房屋面积122㎡（土地面积694.88㎡）出租</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3"/>
        <w:gridCol w:w="2753"/>
        <w:gridCol w:w="2770"/>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0" w:type="dxa"/>
          </w:tcPr>
          <w:p w14:paraId="5168B9AF">
            <w:pPr>
              <w:spacing w:line="240" w:lineRule="auto"/>
              <w:rPr>
                <w:rFonts w:hint="default" w:asciiTheme="minorEastAsia" w:hAnsiTheme="minorEastAsia" w:cstheme="minorEastAsia"/>
                <w:color w:val="C00000"/>
                <w:sz w:val="28"/>
                <w:szCs w:val="28"/>
                <w:vertAlign w:val="baseline"/>
                <w:lang w:val="en-US" w:eastAsia="zh-CN"/>
              </w:rPr>
            </w:pPr>
            <w:r>
              <w:rPr>
                <w:rFonts w:hint="eastAsia" w:ascii="新宋体" w:hAnsi="新宋体" w:eastAsia="新宋体"/>
                <w:b/>
                <w:bCs/>
                <w:color w:val="C00000"/>
                <w:sz w:val="28"/>
                <w:szCs w:val="28"/>
                <w:u w:val="none"/>
                <w:lang w:val="en-US" w:eastAsia="zh-CN"/>
              </w:rPr>
              <w:t>昌江县海尾镇原南罗粮所新港门市部房屋面积122㎡（土地面积694.88㎡）出租</w:t>
            </w:r>
          </w:p>
        </w:tc>
        <w:tc>
          <w:tcPr>
            <w:tcW w:w="2841" w:type="dxa"/>
            <w:vAlign w:val="top"/>
          </w:tcPr>
          <w:p w14:paraId="54095B6C">
            <w:pPr>
              <w:spacing w:line="240" w:lineRule="auto"/>
              <w:jc w:val="both"/>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t>9年</w:t>
            </w:r>
          </w:p>
        </w:tc>
        <w:tc>
          <w:tcPr>
            <w:tcW w:w="2841" w:type="dxa"/>
            <w:vAlign w:val="top"/>
          </w:tcPr>
          <w:p w14:paraId="6D4EC1EB">
            <w:pPr>
              <w:spacing w:line="240" w:lineRule="auto"/>
              <w:jc w:val="center"/>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eastAsia" w:asciiTheme="minorEastAsia" w:hAnsiTheme="minorEastAsia" w:cstheme="minorEastAsia"/>
                <w:color w:val="C00000"/>
                <w:sz w:val="28"/>
                <w:szCs w:val="28"/>
                <w:vertAlign w:val="baseline"/>
                <w:lang w:eastAsia="zh-CN"/>
              </w:rPr>
            </w:pPr>
            <w:r>
              <w:rPr>
                <w:rFonts w:hint="eastAsia" w:ascii="新宋体" w:hAnsi="新宋体" w:eastAsia="新宋体" w:cs="Times New Roman"/>
                <w:b w:val="0"/>
                <w:bCs w:val="0"/>
                <w:sz w:val="30"/>
                <w:szCs w:val="30"/>
                <w:vertAlign w:val="baseline"/>
                <w:lang w:val="en-US" w:eastAsia="zh-CN"/>
              </w:rPr>
              <w:t>25200</w:t>
            </w:r>
            <w:r>
              <w:rPr>
                <w:rFonts w:hint="default" w:ascii="新宋体" w:hAnsi="新宋体" w:eastAsia="新宋体" w:cs="Times New Roman"/>
                <w:b w:val="0"/>
                <w:bCs w:val="0"/>
                <w:sz w:val="30"/>
                <w:szCs w:val="30"/>
                <w:vertAlign w:val="baseline"/>
                <w:lang w:val="en-US" w:eastAsia="zh-CN"/>
              </w:rPr>
              <w:t>元/年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36B61AE3">
      <w:pPr>
        <w:spacing w:line="520" w:lineRule="exact"/>
        <w:ind w:firstLine="560" w:firstLineChars="200"/>
        <w:rPr>
          <w:rFonts w:hint="default" w:ascii="Segoe UI" w:hAnsi="Segoe UI" w:eastAsia="Segoe UI" w:cs="Segoe UI"/>
          <w:i w:val="0"/>
          <w:iCs w:val="0"/>
          <w:caps w:val="0"/>
          <w:color w:val="000000"/>
          <w:spacing w:val="0"/>
          <w:sz w:val="28"/>
          <w:szCs w:val="28"/>
        </w:rPr>
      </w:pPr>
      <w:r>
        <w:rPr>
          <w:rFonts w:hint="eastAsia" w:asciiTheme="minorEastAsia" w:hAnsiTheme="minorEastAsia" w:eastAsiaTheme="minorEastAsia" w:cstheme="minorEastAsia"/>
          <w:sz w:val="28"/>
          <w:szCs w:val="28"/>
        </w:rPr>
        <w:t>付款方式：</w:t>
      </w:r>
      <w:r>
        <w:rPr>
          <w:rFonts w:ascii="Segoe UI" w:hAnsi="Segoe UI" w:eastAsia="Segoe UI" w:cs="Segoe UI"/>
          <w:i w:val="0"/>
          <w:iCs w:val="0"/>
          <w:caps w:val="0"/>
          <w:color w:val="000000"/>
          <w:spacing w:val="0"/>
          <w:sz w:val="28"/>
          <w:szCs w:val="28"/>
        </w:rPr>
        <w:t>须缴纳租赁押金为</w:t>
      </w:r>
      <w:r>
        <w:rPr>
          <w:rFonts w:hint="eastAsia" w:ascii="Segoe UI" w:hAnsi="Segoe UI" w:eastAsia="宋体" w:cs="Segoe UI"/>
          <w:i w:val="0"/>
          <w:iCs w:val="0"/>
          <w:caps w:val="0"/>
          <w:color w:val="000000"/>
          <w:spacing w:val="0"/>
          <w:sz w:val="28"/>
          <w:szCs w:val="28"/>
          <w:lang w:val="en-US" w:eastAsia="zh-CN"/>
        </w:rPr>
        <w:t>两</w:t>
      </w:r>
      <w:r>
        <w:rPr>
          <w:rFonts w:ascii="Segoe UI" w:hAnsi="Segoe UI" w:eastAsia="Segoe UI" w:cs="Segoe UI"/>
          <w:i w:val="0"/>
          <w:iCs w:val="0"/>
          <w:caps w:val="0"/>
          <w:color w:val="000000"/>
          <w:spacing w:val="0"/>
          <w:sz w:val="28"/>
          <w:szCs w:val="28"/>
        </w:rPr>
        <w:t>个月租金</w:t>
      </w:r>
      <w:r>
        <w:rPr>
          <w:rFonts w:hint="eastAsia" w:ascii="Segoe UI" w:hAnsi="Segoe UI" w:eastAsia="宋体" w:cs="Segoe UI"/>
          <w:i w:val="0"/>
          <w:iCs w:val="0"/>
          <w:caps w:val="0"/>
          <w:color w:val="000000"/>
          <w:spacing w:val="0"/>
          <w:sz w:val="28"/>
          <w:szCs w:val="28"/>
          <w:lang w:eastAsia="zh-CN"/>
        </w:rPr>
        <w:t>；</w:t>
      </w:r>
      <w:r>
        <w:rPr>
          <w:rFonts w:ascii="Segoe UI" w:hAnsi="Segoe UI" w:eastAsia="Segoe UI" w:cs="Segoe UI"/>
          <w:i w:val="0"/>
          <w:iCs w:val="0"/>
          <w:caps w:val="0"/>
          <w:color w:val="000000"/>
          <w:spacing w:val="0"/>
          <w:sz w:val="28"/>
          <w:szCs w:val="28"/>
        </w:rPr>
        <w:t>租金每月支付一次，先支付租金后使用。</w:t>
      </w:r>
      <w:r>
        <w:rPr>
          <w:rFonts w:hint="eastAsia" w:ascii="Segoe UI" w:hAnsi="Segoe UI" w:eastAsia="Segoe UI" w:cs="Segoe UI"/>
          <w:i w:val="0"/>
          <w:iCs w:val="0"/>
          <w:caps w:val="0"/>
          <w:color w:val="000000"/>
          <w:spacing w:val="0"/>
          <w:sz w:val="28"/>
          <w:szCs w:val="28"/>
          <w:lang w:val="en-US" w:eastAsia="zh-CN"/>
        </w:rPr>
        <w:t>租金自第2年起，在上年度基础上逐年递增1%。</w:t>
      </w:r>
    </w:p>
    <w:p w14:paraId="7934A578">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Segoe UI" w:hAnsi="Segoe UI" w:eastAsia="宋体" w:cs="Segoe UI"/>
          <w:i w:val="0"/>
          <w:iCs w:val="0"/>
          <w:caps w:val="0"/>
          <w:color w:val="000000"/>
          <w:spacing w:val="0"/>
          <w:sz w:val="28"/>
          <w:szCs w:val="28"/>
          <w:lang w:val="en-US" w:eastAsia="zh-CN"/>
        </w:rPr>
        <w:t>18289922358</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w:t>
      </w:r>
      <w:r>
        <w:rPr>
          <w:rFonts w:hint="eastAsia" w:asciiTheme="minorEastAsia" w:hAnsiTheme="minorEastAsia" w:cstheme="minorEastAsia"/>
          <w:sz w:val="28"/>
          <w:szCs w:val="28"/>
          <w:lang w:val="en-US" w:eastAsia="zh-CN"/>
        </w:rPr>
        <w:t>公众号</w:t>
      </w:r>
      <w:r>
        <w:rPr>
          <w:rFonts w:hint="eastAsia" w:asciiTheme="minorEastAsia" w:hAnsiTheme="minorEastAsia" w:eastAsiaTheme="minorEastAsia" w:cstheme="minorEastAsia"/>
          <w:sz w:val="28"/>
          <w:szCs w:val="28"/>
        </w:rPr>
        <w:t>。</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2336" behindDoc="1" locked="0" layoutInCell="1" allowOverlap="1">
            <wp:simplePos x="0" y="0"/>
            <wp:positionH relativeFrom="column">
              <wp:posOffset>-516890</wp:posOffset>
            </wp:positionH>
            <wp:positionV relativeFrom="paragraph">
              <wp:posOffset>107950</wp:posOffset>
            </wp:positionV>
            <wp:extent cx="1424305" cy="1409065"/>
            <wp:effectExtent l="0" t="0" r="4445" b="635"/>
            <wp:wrapTight wrapText="bothSides">
              <wp:wrapPolygon>
                <wp:start x="0" y="0"/>
                <wp:lineTo x="0" y="21318"/>
                <wp:lineTo x="21379" y="21318"/>
                <wp:lineTo x="21379"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424305" cy="1409065"/>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266ED9"/>
    <w:rsid w:val="00B57B36"/>
    <w:rsid w:val="00CD7376"/>
    <w:rsid w:val="00E03B4E"/>
    <w:rsid w:val="00E541D7"/>
    <w:rsid w:val="011B32B7"/>
    <w:rsid w:val="012F57C6"/>
    <w:rsid w:val="018650DF"/>
    <w:rsid w:val="021C29C7"/>
    <w:rsid w:val="024C6D90"/>
    <w:rsid w:val="02E10391"/>
    <w:rsid w:val="030B0B8D"/>
    <w:rsid w:val="070E6657"/>
    <w:rsid w:val="08FE7AA6"/>
    <w:rsid w:val="09077801"/>
    <w:rsid w:val="0A8721A0"/>
    <w:rsid w:val="0B7B2128"/>
    <w:rsid w:val="0B985CD3"/>
    <w:rsid w:val="0BB60147"/>
    <w:rsid w:val="0C0125B4"/>
    <w:rsid w:val="0C0E7291"/>
    <w:rsid w:val="0CD67C16"/>
    <w:rsid w:val="0D417786"/>
    <w:rsid w:val="0E9816ED"/>
    <w:rsid w:val="10396E71"/>
    <w:rsid w:val="110C6174"/>
    <w:rsid w:val="11AA4406"/>
    <w:rsid w:val="11DE52CB"/>
    <w:rsid w:val="13074039"/>
    <w:rsid w:val="132D209C"/>
    <w:rsid w:val="1487397E"/>
    <w:rsid w:val="148D1503"/>
    <w:rsid w:val="150A3847"/>
    <w:rsid w:val="168C1DDB"/>
    <w:rsid w:val="16C136E5"/>
    <w:rsid w:val="16D93709"/>
    <w:rsid w:val="17410A7F"/>
    <w:rsid w:val="17740A9C"/>
    <w:rsid w:val="18E10F33"/>
    <w:rsid w:val="1991663E"/>
    <w:rsid w:val="19A76BC3"/>
    <w:rsid w:val="19B05D6B"/>
    <w:rsid w:val="1A0C35CC"/>
    <w:rsid w:val="1A525566"/>
    <w:rsid w:val="1A626F8D"/>
    <w:rsid w:val="1CE74D57"/>
    <w:rsid w:val="1D0A3B6C"/>
    <w:rsid w:val="1E22432A"/>
    <w:rsid w:val="1FE10954"/>
    <w:rsid w:val="205C18F7"/>
    <w:rsid w:val="206C2D49"/>
    <w:rsid w:val="20943C19"/>
    <w:rsid w:val="20BE4E97"/>
    <w:rsid w:val="20FF651B"/>
    <w:rsid w:val="2163678E"/>
    <w:rsid w:val="221A4D5F"/>
    <w:rsid w:val="237C10C0"/>
    <w:rsid w:val="23C4301C"/>
    <w:rsid w:val="246758CC"/>
    <w:rsid w:val="26576330"/>
    <w:rsid w:val="26897D83"/>
    <w:rsid w:val="2741574C"/>
    <w:rsid w:val="276E45FB"/>
    <w:rsid w:val="27AC72CB"/>
    <w:rsid w:val="28992024"/>
    <w:rsid w:val="28BE3B5A"/>
    <w:rsid w:val="28CB78AB"/>
    <w:rsid w:val="29A96C5C"/>
    <w:rsid w:val="2A1854EE"/>
    <w:rsid w:val="2C765212"/>
    <w:rsid w:val="2D077487"/>
    <w:rsid w:val="2D5C59D6"/>
    <w:rsid w:val="2E24482E"/>
    <w:rsid w:val="2E7E5FEB"/>
    <w:rsid w:val="2F4F58DB"/>
    <w:rsid w:val="305F608D"/>
    <w:rsid w:val="30AA01BC"/>
    <w:rsid w:val="30B56AE1"/>
    <w:rsid w:val="30CE55FA"/>
    <w:rsid w:val="31342FDA"/>
    <w:rsid w:val="32193F7E"/>
    <w:rsid w:val="32410F36"/>
    <w:rsid w:val="324A4412"/>
    <w:rsid w:val="327E6635"/>
    <w:rsid w:val="32E904B6"/>
    <w:rsid w:val="3321133C"/>
    <w:rsid w:val="347A51A8"/>
    <w:rsid w:val="34A97795"/>
    <w:rsid w:val="34F0372B"/>
    <w:rsid w:val="3516702D"/>
    <w:rsid w:val="356B5D48"/>
    <w:rsid w:val="36257C7B"/>
    <w:rsid w:val="37E601A9"/>
    <w:rsid w:val="3A7A2C02"/>
    <w:rsid w:val="3B824495"/>
    <w:rsid w:val="3D124BF3"/>
    <w:rsid w:val="3D922FE7"/>
    <w:rsid w:val="3DF00187"/>
    <w:rsid w:val="3E296EAB"/>
    <w:rsid w:val="3EE84C2D"/>
    <w:rsid w:val="3F220916"/>
    <w:rsid w:val="40176161"/>
    <w:rsid w:val="406C13C2"/>
    <w:rsid w:val="40C61775"/>
    <w:rsid w:val="412E457D"/>
    <w:rsid w:val="42EC1909"/>
    <w:rsid w:val="43315BEC"/>
    <w:rsid w:val="43AD1C7C"/>
    <w:rsid w:val="4486772E"/>
    <w:rsid w:val="44912C24"/>
    <w:rsid w:val="46503FBA"/>
    <w:rsid w:val="477C493B"/>
    <w:rsid w:val="47C03328"/>
    <w:rsid w:val="48350522"/>
    <w:rsid w:val="485E1147"/>
    <w:rsid w:val="48D11361"/>
    <w:rsid w:val="48F422BB"/>
    <w:rsid w:val="4A7A6DBA"/>
    <w:rsid w:val="4B4636D6"/>
    <w:rsid w:val="4C0A3E21"/>
    <w:rsid w:val="4C122427"/>
    <w:rsid w:val="4CCF04AD"/>
    <w:rsid w:val="4CD73773"/>
    <w:rsid w:val="4D1429F1"/>
    <w:rsid w:val="4D440E1C"/>
    <w:rsid w:val="4DC33073"/>
    <w:rsid w:val="4E3F7559"/>
    <w:rsid w:val="4ECE0172"/>
    <w:rsid w:val="4FDE7FB7"/>
    <w:rsid w:val="50804CA1"/>
    <w:rsid w:val="51085264"/>
    <w:rsid w:val="5115472E"/>
    <w:rsid w:val="513F33B9"/>
    <w:rsid w:val="51516E47"/>
    <w:rsid w:val="51DE7685"/>
    <w:rsid w:val="5268268C"/>
    <w:rsid w:val="529E6A24"/>
    <w:rsid w:val="54AB2D04"/>
    <w:rsid w:val="56794E67"/>
    <w:rsid w:val="58890AD2"/>
    <w:rsid w:val="59AC7302"/>
    <w:rsid w:val="5BD329C8"/>
    <w:rsid w:val="5CF93C67"/>
    <w:rsid w:val="5D382BA2"/>
    <w:rsid w:val="5DC91F2A"/>
    <w:rsid w:val="62920BC0"/>
    <w:rsid w:val="63403F67"/>
    <w:rsid w:val="637A7D59"/>
    <w:rsid w:val="639B14F1"/>
    <w:rsid w:val="64515E2E"/>
    <w:rsid w:val="64D61FAB"/>
    <w:rsid w:val="64DB7959"/>
    <w:rsid w:val="6531384D"/>
    <w:rsid w:val="65980929"/>
    <w:rsid w:val="662D47E5"/>
    <w:rsid w:val="66FA4C56"/>
    <w:rsid w:val="675776D9"/>
    <w:rsid w:val="68790CF7"/>
    <w:rsid w:val="69735746"/>
    <w:rsid w:val="69A739D7"/>
    <w:rsid w:val="6C56086E"/>
    <w:rsid w:val="6D30394E"/>
    <w:rsid w:val="6DBC2B14"/>
    <w:rsid w:val="6E9759F6"/>
    <w:rsid w:val="6EA272B5"/>
    <w:rsid w:val="71477FBE"/>
    <w:rsid w:val="73AC38AA"/>
    <w:rsid w:val="73C6500C"/>
    <w:rsid w:val="74083869"/>
    <w:rsid w:val="7424389C"/>
    <w:rsid w:val="758905C0"/>
    <w:rsid w:val="786A7F85"/>
    <w:rsid w:val="791505B4"/>
    <w:rsid w:val="7961108A"/>
    <w:rsid w:val="798821CF"/>
    <w:rsid w:val="7A7C6A82"/>
    <w:rsid w:val="7A8615E4"/>
    <w:rsid w:val="7B6A44CF"/>
    <w:rsid w:val="7D051392"/>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686</Words>
  <Characters>738</Characters>
  <Lines>59</Lines>
  <Paragraphs>16</Paragraphs>
  <TotalTime>3</TotalTime>
  <ScaleCrop>false</ScaleCrop>
  <LinksUpToDate>false</LinksUpToDate>
  <CharactersWithSpaces>738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是你啊</cp:lastModifiedBy>
  <cp:lastPrinted>2025-10-28T06:49:00Z</cp:lastPrinted>
  <dcterms:modified xsi:type="dcterms:W3CDTF">2026-11-02T09:12:41Z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A4FD631AEA6646C7A52650D2D3165844_13</vt:lpwstr>
  </property>
  <property fmtid="{D5CDD505-2E9C-101B-9397-08002B2CF9AE}" pid="4" name="KSOTemplateDocerSaveRecord">
    <vt:lpwstr>eyJoZGlkIjoiZGE3YzNmNDc4MmY3ODM0ZWU3N2IyNWVlMDU2NTU4NDkiLCJ1c2VySWQiOiIxNzg2NTUyNDIyIn0=</vt:lpwstr>
  </property>
</Properties>
</file>