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07068B">
      <w:pPr>
        <w:pStyle w:val="3"/>
        <w:spacing w:line="240" w:lineRule="auto"/>
        <w:jc w:val="center"/>
        <w:rPr>
          <w:rFonts w:ascii="黑体" w:hAnsi="黑体"/>
          <w:color w:val="000000"/>
        </w:rPr>
      </w:pPr>
      <w:bookmarkStart w:id="0" w:name="_Toc15737"/>
      <w:bookmarkStart w:id="1" w:name="_Toc24454"/>
      <w:bookmarkStart w:id="2" w:name="_Toc11918"/>
      <w:bookmarkStart w:id="3" w:name="_Toc21422"/>
      <w:bookmarkStart w:id="4" w:name="_Toc21762"/>
      <w:bookmarkStart w:id="5" w:name="_Toc32320"/>
      <w:bookmarkStart w:id="6" w:name="_Toc20910"/>
      <w:bookmarkStart w:id="7" w:name="_Toc29002"/>
      <w:bookmarkStart w:id="8" w:name="_Toc12789"/>
      <w:bookmarkStart w:id="9" w:name="_Toc24068"/>
      <w:bookmarkStart w:id="10" w:name="_Toc20033"/>
      <w:bookmarkStart w:id="11" w:name="_Toc7615"/>
      <w:bookmarkStart w:id="12" w:name="_Toc8396"/>
      <w:bookmarkStart w:id="13" w:name="_Toc25712"/>
      <w:bookmarkStart w:id="14" w:name="_Toc13462"/>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5B3AB3E4">
      <w:pPr>
        <w:numPr>
          <w:ilvl w:val="0"/>
          <w:numId w:val="1"/>
        </w:numPr>
        <w:spacing w:line="520" w:lineRule="exact"/>
        <w:rPr>
          <w:rFonts w:ascii="新宋体" w:hAnsi="新宋体" w:eastAsia="新宋体"/>
          <w:sz w:val="28"/>
          <w:szCs w:val="28"/>
        </w:rPr>
      </w:pPr>
      <w:r>
        <w:rPr>
          <w:rFonts w:hint="eastAsia" w:ascii="新宋体" w:hAnsi="新宋体" w:eastAsia="新宋体"/>
          <w:b/>
          <w:bCs/>
          <w:color w:val="C00000"/>
          <w:sz w:val="28"/>
          <w:szCs w:val="28"/>
        </w:rPr>
        <w:t>昌江县石碌镇红棉西路和悦小区1-114商铺189.33m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w:t>
      </w:r>
      <w:r>
        <w:rPr>
          <w:rFonts w:hint="eastAsia" w:ascii="新宋体" w:hAnsi="新宋体" w:eastAsia="新宋体" w:cs="新宋体"/>
          <w:color w:val="auto"/>
          <w:sz w:val="28"/>
          <w:szCs w:val="28"/>
          <w:highlight w:val="none"/>
        </w:rPr>
        <w:fldChar w:fldCharType="begin"/>
      </w:r>
      <w:r>
        <w:rPr>
          <w:rFonts w:hint="eastAsia" w:ascii="新宋体" w:hAnsi="新宋体" w:eastAsia="新宋体" w:cs="新宋体"/>
          <w:sz w:val="28"/>
          <w:szCs w:val="28"/>
          <w:highlight w:val="none"/>
        </w:rPr>
        <w:instrText xml:space="preserve"> HYPERLINK \l _Toc17598 </w:instrText>
      </w:r>
      <w:r>
        <w:rPr>
          <w:rFonts w:hint="eastAsia" w:ascii="新宋体" w:hAnsi="新宋体" w:eastAsia="新宋体" w:cs="新宋体"/>
          <w:sz w:val="28"/>
          <w:szCs w:val="28"/>
          <w:highlight w:val="none"/>
        </w:rPr>
        <w:fldChar w:fldCharType="separate"/>
      </w:r>
      <w:r>
        <w:rPr>
          <w:rFonts w:hint="eastAsia" w:ascii="新宋体" w:hAnsi="新宋体" w:eastAsia="新宋体" w:cs="新宋体"/>
          <w:kern w:val="0"/>
          <w:sz w:val="28"/>
          <w:szCs w:val="28"/>
          <w:highlight w:val="none"/>
          <w:lang w:val="en-US" w:eastAsia="zh-CN"/>
        </w:rPr>
        <w:t>昌江农村产权交易中心</w:t>
      </w:r>
      <w:r>
        <w:rPr>
          <w:rFonts w:hint="eastAsia" w:ascii="新宋体" w:hAnsi="新宋体" w:eastAsia="新宋体" w:cs="新宋体"/>
          <w:kern w:val="0"/>
          <w:sz w:val="28"/>
          <w:szCs w:val="28"/>
          <w:highlight w:val="none"/>
        </w:rPr>
        <w:t>农村产权交易规则（试行）</w:t>
      </w:r>
      <w:r>
        <w:rPr>
          <w:rFonts w:hint="eastAsia" w:ascii="新宋体" w:hAnsi="新宋体" w:eastAsia="新宋体" w:cs="新宋体"/>
          <w:color w:val="auto"/>
          <w:sz w:val="28"/>
          <w:szCs w:val="28"/>
          <w:highlight w:val="none"/>
        </w:rPr>
        <w:fldChar w:fldCharType="end"/>
      </w:r>
      <w:r>
        <w:rPr>
          <w:rFonts w:hint="eastAsia" w:ascii="新宋体" w:hAnsi="新宋体" w:eastAsia="新宋体"/>
          <w:sz w:val="28"/>
          <w:szCs w:val="28"/>
        </w:rPr>
        <w:t>》、《</w:t>
      </w:r>
      <w:r>
        <w:rPr>
          <w:rFonts w:hint="eastAsia" w:ascii="新宋体" w:hAnsi="新宋体" w:eastAsia="新宋体" w:cs="新宋体"/>
          <w:bCs w:val="0"/>
          <w:kern w:val="0"/>
          <w:sz w:val="28"/>
          <w:szCs w:val="28"/>
          <w:highlight w:val="none"/>
          <w:lang w:val="en-US" w:eastAsia="zh-CN"/>
        </w:rPr>
        <w:t>昌江农村产权交易中心</w:t>
      </w:r>
      <w:r>
        <w:rPr>
          <w:rFonts w:hint="eastAsia" w:ascii="新宋体" w:hAnsi="新宋体" w:eastAsia="新宋体" w:cs="新宋体"/>
          <w:bCs w:val="0"/>
          <w:kern w:val="0"/>
          <w:sz w:val="28"/>
          <w:szCs w:val="28"/>
          <w:highlight w:val="none"/>
        </w:rPr>
        <w:t>网络竞价实施办法（试行）</w:t>
      </w:r>
      <w:r>
        <w:rPr>
          <w:rFonts w:hint="eastAsia" w:ascii="新宋体" w:hAnsi="新宋体" w:eastAsia="新宋体"/>
          <w:sz w:val="28"/>
          <w:szCs w:val="28"/>
        </w:rPr>
        <w:t>》及有关法律、法规的规定，制定本交易须知。</w:t>
      </w:r>
    </w:p>
    <w:p w14:paraId="01BE4AB2">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网络竞价的竞买方必须遵守本交易须知、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有关交易规则以及有关法律法规。</w:t>
      </w:r>
    </w:p>
    <w:p w14:paraId="6B5AB62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昌江农村产权交易中心(</w:t>
      </w:r>
      <w:r>
        <w:rPr>
          <w:rFonts w:hint="eastAsia" w:ascii="新宋体" w:hAnsi="新宋体" w:eastAsia="新宋体" w:cs="Times New Roman"/>
          <w:b/>
          <w:bCs/>
          <w:sz w:val="28"/>
          <w:szCs w:val="28"/>
        </w:rPr>
        <w:t>以下简称“</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.nongjiao.com）为指定的交易</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，竞买方应通过</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参与标的竞拍活动。</w:t>
      </w:r>
    </w:p>
    <w:p w14:paraId="4DAFB73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w:t>
      </w:r>
      <w:r>
        <w:rPr>
          <w:rFonts w:hint="eastAsia" w:ascii="新宋体" w:hAnsi="新宋体" w:eastAsia="新宋体" w:cs="Times New Roman"/>
          <w:sz w:val="28"/>
          <w:szCs w:val="28"/>
          <w:lang w:val="en-US" w:eastAsia="zh-CN"/>
        </w:rPr>
        <w:t>出租</w:t>
      </w:r>
      <w:r>
        <w:rPr>
          <w:rFonts w:hint="eastAsia" w:ascii="新宋体" w:hAnsi="新宋体" w:eastAsia="新宋体" w:cs="Times New Roman"/>
          <w:sz w:val="28"/>
          <w:szCs w:val="28"/>
        </w:rPr>
        <w:t>（转让）方提供，竞买申请方在提交竞买报名之前，应对所竞买的项目标的有关情况及瑕疵已做了全面的了解，竞买方如对交易须知、交易规则、交易公告等交易文件有疑问的，可向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sz w:val="28"/>
          <w:szCs w:val="28"/>
          <w:lang w:val="en-US" w:eastAsia="zh-CN"/>
        </w:rPr>
        <w:t>农交中心</w:t>
      </w:r>
      <w:r>
        <w:rPr>
          <w:rFonts w:hint="eastAsia" w:ascii="新宋体" w:hAnsi="新宋体" w:eastAsia="新宋体" w:cs="Times New Roman"/>
          <w:sz w:val="28"/>
          <w:szCs w:val="28"/>
        </w:rPr>
        <w:t>运营工作人员咨询。</w:t>
      </w:r>
    </w:p>
    <w:p w14:paraId="47DB85A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17580EE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有关交易规则和交易须知。</w:t>
      </w:r>
    </w:p>
    <w:p w14:paraId="2E260CF6">
      <w:pPr>
        <w:numPr>
          <w:ilvl w:val="0"/>
          <w:numId w:val="1"/>
        </w:numPr>
        <w:spacing w:line="520" w:lineRule="exact"/>
        <w:rPr>
          <w:b/>
          <w:bCs/>
          <w:color w:val="000000" w:themeColor="text1"/>
          <w14:textFill>
            <w14:solidFill>
              <w14:schemeClr w14:val="tx1"/>
            </w14:solidFill>
          </w14:textFill>
        </w:rPr>
      </w:pPr>
      <w:r>
        <w:rPr>
          <w:rFonts w:hint="eastAsia" w:ascii="新宋体" w:hAnsi="新宋体" w:eastAsia="新宋体" w:cs="Times New Roman"/>
          <w:b/>
          <w:bCs/>
          <w:color w:val="000000" w:themeColor="text1"/>
          <w:sz w:val="28"/>
          <w:szCs w:val="28"/>
          <w14:textFill>
            <w14:solidFill>
              <w14:schemeClr w14:val="tx1"/>
            </w14:solidFill>
          </w14:textFill>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12日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w:t>
      </w:r>
      <w:r>
        <w:rPr>
          <w:rFonts w:hint="eastAsia" w:ascii="新宋体" w:hAnsi="新宋体" w:eastAsia="新宋体" w:cs="Times New Roman"/>
          <w:b/>
          <w:bCs/>
          <w:color w:val="000000" w:themeColor="text1"/>
          <w:sz w:val="28"/>
          <w:szCs w:val="28"/>
          <w14:textFill>
            <w14:solidFill>
              <w14:schemeClr w14:val="tx1"/>
            </w14:solidFill>
          </w14:textFill>
        </w:rPr>
        <w:t>签署并向</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提交本次网络竞价《网络竞价须知》《网络竞价承诺函》等竞价文件后，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审核通过后，交纳交易保证金</w:t>
      </w:r>
      <w:r>
        <w:rPr>
          <w:rFonts w:hint="eastAsia" w:ascii="新宋体" w:hAnsi="新宋体" w:eastAsia="新宋体" w:cs="Times New Roman"/>
          <w:b/>
          <w:bCs/>
          <w:color w:val="C00000"/>
          <w:sz w:val="28"/>
          <w:szCs w:val="28"/>
        </w:rPr>
        <w:t>（</w:t>
      </w:r>
      <w:r>
        <w:rPr>
          <w:rFonts w:hint="eastAsia" w:ascii="新宋体" w:hAnsi="新宋体" w:eastAsia="新宋体" w:cs="Times New Roman"/>
          <w:b/>
          <w:bCs/>
          <w:color w:val="C00000"/>
          <w:sz w:val="28"/>
          <w:szCs w:val="28"/>
          <w:lang w:val="en-US" w:eastAsia="zh-CN"/>
        </w:rPr>
        <w:t>8334元</w:t>
      </w:r>
      <w:r>
        <w:rPr>
          <w:rFonts w:hint="eastAsia" w:ascii="新宋体" w:hAnsi="新宋体" w:eastAsia="新宋体" w:cs="Times New Roman"/>
          <w:b/>
          <w:bCs/>
          <w:sz w:val="28"/>
          <w:szCs w:val="28"/>
        </w:rPr>
        <w:t>），</w:t>
      </w:r>
      <w:r>
        <w:rPr>
          <w:rFonts w:hint="eastAsia" w:ascii="新宋体" w:hAnsi="新宋体" w:eastAsia="新宋体" w:cs="Times New Roman"/>
          <w:b/>
          <w:bCs/>
          <w:color w:val="000000" w:themeColor="text1"/>
          <w:sz w:val="28"/>
          <w:szCs w:val="28"/>
          <w14:textFill>
            <w14:solidFill>
              <w14:schemeClr w14:val="tx1"/>
            </w14:solidFill>
          </w14:textFill>
        </w:rPr>
        <w:t>竞买申请方必须用本人的银行账户（单位用户须用本单位公户）通过网银、手机银行、柜台转账等方式把交易保证金款项存入</w:t>
      </w:r>
      <w:r>
        <w:rPr>
          <w:rFonts w:hint="eastAsia" w:ascii="新宋体" w:hAnsi="新宋体" w:eastAsia="新宋体" w:cs="Times New Roman"/>
          <w:b/>
          <w:bCs/>
          <w:color w:val="000000" w:themeColor="text1"/>
          <w:sz w:val="28"/>
          <w:szCs w:val="28"/>
          <w:lang w:eastAsia="zh-CN"/>
          <w14:textFill>
            <w14:solidFill>
              <w14:schemeClr w14:val="tx1"/>
            </w14:solidFill>
          </w14:textFill>
        </w:rPr>
        <w:t>农交中心</w:t>
      </w:r>
      <w:r>
        <w:rPr>
          <w:rFonts w:hint="eastAsia" w:ascii="新宋体" w:hAnsi="新宋体" w:eastAsia="新宋体" w:cs="Times New Roman"/>
          <w:b/>
          <w:bCs/>
          <w:color w:val="000000" w:themeColor="text1"/>
          <w:sz w:val="28"/>
          <w:szCs w:val="28"/>
          <w:lang w:val="en-US" w:eastAsia="zh-CN"/>
          <w14:textFill>
            <w14:solidFill>
              <w14:schemeClr w14:val="tx1"/>
            </w14:solidFill>
          </w14:textFill>
        </w:rPr>
        <w:t>网站</w:t>
      </w:r>
      <w:r>
        <w:rPr>
          <w:rFonts w:hint="eastAsia" w:ascii="新宋体" w:hAnsi="新宋体" w:eastAsia="新宋体" w:cs="Times New Roman"/>
          <w:b/>
          <w:bCs/>
          <w:color w:val="000000" w:themeColor="text1"/>
          <w:sz w:val="28"/>
          <w:szCs w:val="28"/>
          <w14:textFill>
            <w14:solidFill>
              <w14:schemeClr w14:val="tx1"/>
            </w14:solidFill>
          </w14:textFill>
        </w:rPr>
        <w:t>交易保证金结算账户，方取得竞拍资格。</w:t>
      </w:r>
    </w:p>
    <w:p w14:paraId="17AC7BAB">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3"/>
        <w:tblW w:w="0" w:type="auto"/>
        <w:jc w:val="center"/>
        <w:tblLayout w:type="fixed"/>
        <w:tblCellMar>
          <w:top w:w="0" w:type="dxa"/>
          <w:left w:w="108" w:type="dxa"/>
          <w:bottom w:w="0" w:type="dxa"/>
          <w:right w:w="108" w:type="dxa"/>
        </w:tblCellMar>
      </w:tblPr>
      <w:tblGrid>
        <w:gridCol w:w="1628"/>
        <w:gridCol w:w="5662"/>
      </w:tblGrid>
      <w:tr w14:paraId="1722805F">
        <w:tblPrEx>
          <w:tblCellMar>
            <w:top w:w="0" w:type="dxa"/>
            <w:left w:w="108" w:type="dxa"/>
            <w:bottom w:w="0" w:type="dxa"/>
            <w:right w:w="108" w:type="dxa"/>
          </w:tblCellMar>
        </w:tblPrEx>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5C7D9D">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5E6CCE">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74FD9ABD">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33B9C1A">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AAD368">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0849B04E">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4E44C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6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F1095C">
            <w:pPr>
              <w:jc w:val="center"/>
              <w:rPr>
                <w:rFonts w:hint="default" w:ascii="仿宋_GB2312" w:hAnsi="仿宋_GB2312" w:eastAsia="仿宋_GB2312" w:cs="仿宋_GB2312"/>
                <w:b/>
                <w:bCs/>
                <w:sz w:val="28"/>
                <w:szCs w:val="28"/>
                <w:lang w:val="en-US" w:eastAsia="zh-CN"/>
              </w:rPr>
            </w:pPr>
            <w:r>
              <w:rPr>
                <w:rFonts w:ascii="微软雅黑" w:hAnsi="微软雅黑" w:eastAsia="微软雅黑" w:cs="微软雅黑"/>
                <w:i w:val="0"/>
                <w:iCs w:val="0"/>
                <w:caps w:val="0"/>
                <w:color w:val="000000"/>
                <w:spacing w:val="0"/>
                <w:sz w:val="28"/>
                <w:szCs w:val="28"/>
              </w:rPr>
              <w:t>1022324700000281</w:t>
            </w:r>
          </w:p>
        </w:tc>
      </w:tr>
    </w:tbl>
    <w:p w14:paraId="62FA12FC">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账号和提交实名认证材料时，必须按照</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要求提供及时、详尽、准确、真实的单位或个人注册资料，注册后如信息资料有任何变动，必须及时向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提出更新申请，否则由此引起的经济及法律责任均由竞买方自行承担。</w:t>
      </w:r>
    </w:p>
    <w:p w14:paraId="6B463B7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不承担任何责任。通过公共环境参与网络竞价活动的竞买方应注意账号安全，离开终端时应及时退出</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系统。</w:t>
      </w:r>
    </w:p>
    <w:p w14:paraId="173035B4">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w:t>
      </w:r>
      <w:r>
        <w:rPr>
          <w:rFonts w:hint="eastAsia" w:ascii="新宋体" w:hAnsi="新宋体" w:eastAsia="新宋体" w:cs="Times New Roman"/>
          <w:b/>
          <w:bCs/>
          <w:sz w:val="28"/>
          <w:szCs w:val="28"/>
        </w:rPr>
        <w:t>http://</w:t>
      </w:r>
      <w:r>
        <w:rPr>
          <w:rFonts w:hint="eastAsia" w:ascii="新宋体" w:hAnsi="新宋体" w:eastAsia="新宋体" w:cs="Times New Roman"/>
          <w:b/>
          <w:bCs/>
          <w:sz w:val="28"/>
          <w:szCs w:val="28"/>
          <w:lang w:val="en-US" w:eastAsia="zh-CN"/>
        </w:rPr>
        <w:t>changjiang</w:t>
      </w:r>
      <w:r>
        <w:rPr>
          <w:rFonts w:hint="eastAsia" w:ascii="新宋体" w:hAnsi="新宋体" w:eastAsia="新宋体" w:cs="Times New Roman"/>
          <w:b/>
          <w:bCs/>
          <w:sz w:val="28"/>
          <w:szCs w:val="28"/>
        </w:rPr>
        <w:t>.nongjiao.com</w:t>
      </w:r>
      <w:r>
        <w:rPr>
          <w:rFonts w:hint="eastAsia" w:ascii="新宋体" w:hAnsi="新宋体" w:eastAsia="新宋体" w:cs="Times New Roman"/>
          <w:sz w:val="28"/>
          <w:szCs w:val="28"/>
        </w:rPr>
        <w:t>，即可操作。</w:t>
      </w:r>
    </w:p>
    <w:p w14:paraId="751E5445">
      <w:pPr>
        <w:spacing w:line="520" w:lineRule="exact"/>
        <w:ind w:firstLine="562" w:firstLineChars="200"/>
        <w:jc w:val="left"/>
        <w:rPr>
          <w:rFonts w:hint="eastAsia" w:ascii="新宋体" w:hAnsi="新宋体" w:eastAsia="新宋体" w:cs="Times New Roman"/>
          <w:b/>
          <w:bCs/>
          <w:sz w:val="28"/>
          <w:szCs w:val="28"/>
          <w:lang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C24E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69DED493">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b/>
                <w:bCs/>
                <w:color w:val="C00000"/>
                <w:sz w:val="28"/>
                <w:szCs w:val="28"/>
              </w:rPr>
              <w:t>昌江县石碌镇红棉西路和悦小区1-114商铺189.33m</w:t>
            </w:r>
            <w:r>
              <w:rPr>
                <w:rFonts w:hint="eastAsia" w:ascii="新宋体" w:hAnsi="新宋体" w:eastAsia="新宋体"/>
                <w:b/>
                <w:bCs/>
                <w:color w:val="C00000"/>
                <w:sz w:val="28"/>
                <w:szCs w:val="28"/>
                <w:lang w:val="en-US" w:eastAsia="zh-CN"/>
              </w:rPr>
              <w:t>²</w:t>
            </w:r>
            <w:r>
              <w:rPr>
                <w:rFonts w:hint="eastAsia" w:ascii="新宋体" w:hAnsi="新宋体" w:eastAsia="新宋体"/>
                <w:b/>
                <w:bCs/>
                <w:color w:val="C00000"/>
                <w:sz w:val="28"/>
                <w:szCs w:val="28"/>
              </w:rPr>
              <w:t>出租</w:t>
            </w:r>
          </w:p>
        </w:tc>
        <w:tc>
          <w:tcPr>
            <w:tcW w:w="2841" w:type="dxa"/>
            <w:vAlign w:val="top"/>
          </w:tcPr>
          <w:p w14:paraId="287B66D1">
            <w:pPr>
              <w:numPr>
                <w:ilvl w:val="0"/>
                <w:numId w:val="0"/>
              </w:numPr>
              <w:spacing w:line="240" w:lineRule="auto"/>
              <w:ind w:leftChars="0"/>
              <w:jc w:val="center"/>
              <w:rPr>
                <w:rFonts w:hint="eastAsia" w:ascii="新宋体" w:hAnsi="新宋体" w:eastAsia="新宋体" w:cs="Times New Roman"/>
                <w:b w:val="0"/>
                <w:bCs w:val="0"/>
                <w:sz w:val="28"/>
                <w:szCs w:val="28"/>
                <w:vertAlign w:val="baseline"/>
                <w:lang w:val="en-US" w:eastAsia="zh-CN"/>
              </w:rPr>
            </w:pPr>
          </w:p>
          <w:p w14:paraId="47CFF2F1">
            <w:pPr>
              <w:numPr>
                <w:ilvl w:val="0"/>
                <w:numId w:val="0"/>
              </w:numPr>
              <w:spacing w:line="240" w:lineRule="auto"/>
              <w:ind w:leftChars="0"/>
              <w:jc w:val="center"/>
              <w:rPr>
                <w:rFonts w:hint="default" w:ascii="新宋体" w:hAnsi="新宋体" w:eastAsia="新宋体" w:cs="Times New Roman"/>
                <w:b w:val="0"/>
                <w:bCs w:val="0"/>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3年</w:t>
            </w:r>
          </w:p>
        </w:tc>
        <w:tc>
          <w:tcPr>
            <w:tcW w:w="2841" w:type="dxa"/>
            <w:vAlign w:val="top"/>
          </w:tcPr>
          <w:p w14:paraId="3F8BB44F">
            <w:pPr>
              <w:spacing w:line="240" w:lineRule="auto"/>
              <w:jc w:val="center"/>
              <w:rPr>
                <w:rFonts w:hint="default" w:ascii="新宋体" w:hAnsi="新宋体" w:eastAsia="新宋体" w:cs="Times New Roman"/>
                <w:b/>
                <w:bCs/>
                <w:sz w:val="28"/>
                <w:szCs w:val="28"/>
                <w:vertAlign w:val="baseline"/>
                <w:lang w:val="en-US" w:eastAsia="zh-CN"/>
              </w:rPr>
            </w:pPr>
          </w:p>
          <w:p w14:paraId="1ED50537">
            <w:pPr>
              <w:spacing w:line="240" w:lineRule="auto"/>
              <w:jc w:val="center"/>
              <w:rPr>
                <w:rFonts w:hint="default" w:ascii="新宋体" w:hAnsi="新宋体" w:eastAsia="新宋体" w:cs="Times New Roman"/>
                <w:b/>
                <w:bCs/>
                <w:sz w:val="28"/>
                <w:szCs w:val="28"/>
                <w:vertAlign w:val="baseline"/>
                <w:lang w:val="en-US" w:eastAsia="zh-CN"/>
              </w:rPr>
            </w:pPr>
            <w:r>
              <w:rPr>
                <w:rFonts w:hint="eastAsia" w:ascii="新宋体" w:hAnsi="新宋体" w:eastAsia="新宋体" w:cs="Times New Roman"/>
                <w:b w:val="0"/>
                <w:bCs w:val="0"/>
                <w:sz w:val="30"/>
                <w:szCs w:val="30"/>
                <w:vertAlign w:val="baseline"/>
                <w:lang w:val="en-US" w:eastAsia="zh-CN"/>
              </w:rPr>
              <w:t>41667.72</w:t>
            </w:r>
            <w:r>
              <w:rPr>
                <w:rFonts w:hint="default" w:ascii="新宋体" w:hAnsi="新宋体" w:eastAsia="新宋体" w:cs="Times New Roman"/>
                <w:b w:val="0"/>
                <w:bCs w:val="0"/>
                <w:sz w:val="30"/>
                <w:szCs w:val="30"/>
                <w:vertAlign w:val="baseline"/>
                <w:lang w:val="en-US" w:eastAsia="zh-CN"/>
              </w:rPr>
              <w:t>元/年</w:t>
            </w:r>
          </w:p>
        </w:tc>
      </w:tr>
    </w:tbl>
    <w:p w14:paraId="2BCC818B">
      <w:pPr>
        <w:spacing w:line="240" w:lineRule="auto"/>
        <w:ind w:firstLine="562" w:firstLineChars="200"/>
        <w:jc w:val="left"/>
        <w:rPr>
          <w:rFonts w:hint="default" w:ascii="新宋体" w:hAnsi="新宋体" w:eastAsia="新宋体" w:cs="Times New Roman"/>
          <w:b/>
          <w:bCs/>
          <w:sz w:val="28"/>
          <w:szCs w:val="28"/>
          <w:lang w:val="en-US" w:eastAsia="zh-CN"/>
        </w:rPr>
      </w:pPr>
    </w:p>
    <w:p w14:paraId="760DF9A5">
      <w:pPr>
        <w:pStyle w:val="4"/>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（转让）方确定的交易条件，通过</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lang w:val="en-US" w:eastAsia="zh-CN"/>
        </w:rPr>
        <w:t>网站</w:t>
      </w:r>
      <w:r>
        <w:rPr>
          <w:rFonts w:hint="eastAsia" w:ascii="新宋体" w:hAnsi="新宋体" w:eastAsia="新宋体" w:cs="Times New Roman"/>
          <w:sz w:val="28"/>
          <w:szCs w:val="28"/>
        </w:rPr>
        <w:t>的网络竞价系统进行动态递增（减）报价，将报价最高者确定为承租（受让）方的竞价方式（反向竞价以报价最低者确定为承租（受让）方）。</w:t>
      </w:r>
    </w:p>
    <w:p w14:paraId="78BF1BB1">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元的整数倍（至少</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sz w:val="28"/>
          <w:szCs w:val="28"/>
        </w:rPr>
        <w:t>元）。</w:t>
      </w:r>
    </w:p>
    <w:p w14:paraId="66DBDF05">
      <w:pPr>
        <w:pStyle w:val="4"/>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211FE4F5">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lang w:eastAsia="zh-CN"/>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11-13日</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sz w:val="28"/>
          <w:szCs w:val="28"/>
          <w:u w:val="single"/>
        </w:rPr>
        <w:t>5</w:t>
      </w:r>
      <w:r>
        <w:rPr>
          <w:rFonts w:hint="eastAsia" w:ascii="新宋体" w:hAnsi="新宋体" w:eastAsia="新宋体" w:cs="Times New Roman"/>
          <w:b/>
          <w:bCs/>
          <w:sz w:val="28"/>
          <w:szCs w:val="28"/>
        </w:rPr>
        <w:t>分钟。</w:t>
      </w:r>
    </w:p>
    <w:p w14:paraId="3F27133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26A90C6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lang w:val="en-US" w:eastAsia="zh-CN"/>
        </w:rPr>
        <w:t>网站</w:t>
      </w:r>
      <w:r>
        <w:rPr>
          <w:rFonts w:hint="eastAsia" w:ascii="新宋体" w:hAnsi="新宋体" w:eastAsia="新宋体" w:cs="Times New Roman"/>
          <w:b/>
          <w:bCs/>
          <w:sz w:val="28"/>
          <w:szCs w:val="28"/>
        </w:rPr>
        <w:t>记录即视为有效报价，竞买方不可变更或撤销。</w:t>
      </w:r>
    </w:p>
    <w:p w14:paraId="38DFF6C3">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24C40EE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，密切观察交易动态，以确定信息公告的标的是否转为网络竞价状态，并参与竞拍。竞买方不得以不知道交易公告的标的转为网络竞价为由提出任何异议。</w:t>
      </w:r>
    </w:p>
    <w:p w14:paraId="701EB30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694B52B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2E1F871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13、因竞买方如下行为产生的一切后果，</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不承担任何责任：</w:t>
      </w:r>
    </w:p>
    <w:p w14:paraId="22F263A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发布的竞价活动相关信息的；</w:t>
      </w:r>
    </w:p>
    <w:p w14:paraId="5409309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001EDD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7FDF978">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2E528B5C">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39647FD2">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2CFF83DA">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当即与</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（转让）方协商后续方案，并将结果及时通知各竞买方，</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运营单位有权中止（冻结）或重新竞拍标的物竞价活动，待问题解决后依程序再行恢复竞价活动，同时</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不承担任何责任。主要行为包括但不限于以下：</w:t>
      </w:r>
    </w:p>
    <w:p w14:paraId="6130F4F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5AE085A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5D48CE9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48349E89">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43FCABE3">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服务器、</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运营单位办公区域出现不可抗力因素导致无法正常实施网络交易活动；</w:t>
      </w:r>
    </w:p>
    <w:p w14:paraId="789D25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5BFDADA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运营单位或委托人核实的其他原因；</w:t>
      </w:r>
    </w:p>
    <w:p w14:paraId="68EF673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认为需要中止网络竞价活动的其他情形。</w:t>
      </w:r>
    </w:p>
    <w:p w14:paraId="4F86B16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59D261E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将按照</w:t>
      </w:r>
      <w:r>
        <w:rPr>
          <w:rFonts w:hint="eastAsia" w:ascii="新宋体" w:hAnsi="新宋体" w:eastAsia="新宋体" w:cs="Times New Roman"/>
          <w:sz w:val="28"/>
          <w:szCs w:val="28"/>
          <w:lang w:eastAsia="zh-CN"/>
        </w:rPr>
        <w:t>出租</w:t>
      </w:r>
      <w:r>
        <w:rPr>
          <w:rFonts w:hint="eastAsia" w:ascii="新宋体" w:hAnsi="新宋体" w:eastAsia="新宋体" w:cs="Times New Roman"/>
          <w:sz w:val="28"/>
          <w:szCs w:val="28"/>
        </w:rPr>
        <w:t>（转让）方要求的时间和方式继续竞价或重新竞价，</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通知各竞买方。</w:t>
      </w:r>
    </w:p>
    <w:p w14:paraId="0FB834EE">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网站服务异常、竞价活动异常的，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可以根据相关约定重新组织实施竞价或再次发布转让信息公告。</w:t>
      </w:r>
    </w:p>
    <w:p w14:paraId="63C0E13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运营单位应当终止</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交易活动，待问题解决后依程序重新实施竞拍活动：</w:t>
      </w:r>
    </w:p>
    <w:p w14:paraId="26AC06F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45387B5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12EB01AB">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4484FFC8">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62AC880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或委托方核实的其他情形。</w:t>
      </w:r>
    </w:p>
    <w:p w14:paraId="305646B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运营单位应当在</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发布相关信息。竞买方可以通过邮件、电话联系等方式或者直接向运营单位咨询，以获得标的中止（冻结）交易和解除冻结的相关信息。</w:t>
      </w:r>
    </w:p>
    <w:p w14:paraId="2CA40780">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有权中止、取消其竞得资格，并将其列入</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黑名单；造成</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及相关方损失的，由竞买方依法承担赔偿损失等法律责任。</w:t>
      </w:r>
    </w:p>
    <w:p w14:paraId="15002FD0">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注册登记的要求提供有关文件材料、提供虚假文件或隐瞒事实的；</w:t>
      </w:r>
    </w:p>
    <w:p w14:paraId="40DE5A32">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（转让）方签订交易合同的；竞买方无故不推进交易或无故放弃受让的；</w:t>
      </w:r>
    </w:p>
    <w:p w14:paraId="78A7481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058FC21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（转让）方合法权益，违反法律、法规、规章规定的；</w:t>
      </w:r>
    </w:p>
    <w:p w14:paraId="2ECEAF2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造成损失的；</w:t>
      </w:r>
    </w:p>
    <w:p w14:paraId="414A6D37">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559C1AFE">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（转让）方的身份参与竞价交易活动的。</w:t>
      </w:r>
    </w:p>
    <w:p w14:paraId="3CB4458F">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1</w:t>
      </w:r>
      <w:r>
        <w:rPr>
          <w:rFonts w:hint="eastAsia" w:ascii="新宋体" w:hAnsi="新宋体" w:eastAsia="新宋体" w:cs="Times New Roman"/>
          <w:b/>
          <w:bCs/>
          <w:sz w:val="28"/>
          <w:szCs w:val="28"/>
        </w:rPr>
        <w:t>、成交结果以</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出具的《标的竞得书》为准。</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在竞价结束的2个工作日内向竞得方出具《标的竞得书》。（注：对于农垦资产</w:t>
      </w:r>
      <w:r>
        <w:rPr>
          <w:rFonts w:hint="eastAsia" w:ascii="新宋体" w:hAnsi="新宋体" w:eastAsia="新宋体" w:cs="Times New Roman"/>
          <w:b/>
          <w:bCs/>
          <w:sz w:val="28"/>
          <w:szCs w:val="28"/>
          <w:lang w:eastAsia="zh-CN"/>
        </w:rPr>
        <w:t>出租</w:t>
      </w:r>
      <w:r>
        <w:rPr>
          <w:rFonts w:hint="eastAsia" w:ascii="新宋体" w:hAnsi="新宋体" w:eastAsia="新宋体" w:cs="Times New Roman"/>
          <w:b/>
          <w:bCs/>
          <w:sz w:val="28"/>
          <w:szCs w:val="28"/>
        </w:rPr>
        <w:t>（转让）只有一个竞买方参与竞拍的，需先由委托单位根据有关规定报海垦集团批准后，</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才能出具《标的竞得书》），竞得人凭《标的竞得书》与委托单位在</w:t>
      </w:r>
      <w:r>
        <w:rPr>
          <w:rFonts w:hint="eastAsia" w:ascii="新宋体" w:hAnsi="新宋体" w:eastAsia="新宋体" w:cs="Times New Roman"/>
          <w:b/>
          <w:bCs/>
          <w:sz w:val="28"/>
          <w:szCs w:val="28"/>
          <w:lang w:val="en-US" w:eastAsia="zh-CN"/>
        </w:rPr>
        <w:t>10</w:t>
      </w:r>
      <w:r>
        <w:rPr>
          <w:rFonts w:hint="eastAsia" w:ascii="新宋体" w:hAnsi="新宋体" w:eastAsia="新宋体" w:cs="Times New Roman"/>
          <w:b/>
          <w:bCs/>
          <w:sz w:val="28"/>
          <w:szCs w:val="28"/>
        </w:rPr>
        <w:t>个工作日内（或按公告要求的时限）签订交易合同，</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对合同内容按规定进行形式审核，审核通过后解冻竞得人的交易保证金。竞得人需要在</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sz w:val="28"/>
          <w:szCs w:val="28"/>
          <w:lang w:val="en-US" w:eastAsia="zh-CN"/>
        </w:rPr>
        <w:t>签订标的竞得书》</w:t>
      </w:r>
      <w:r>
        <w:rPr>
          <w:rFonts w:hint="eastAsia" w:ascii="新宋体" w:hAnsi="新宋体" w:eastAsia="新宋体" w:cs="Times New Roman"/>
          <w:b/>
          <w:bCs/>
          <w:sz w:val="28"/>
          <w:szCs w:val="28"/>
        </w:rPr>
        <w:t>的</w:t>
      </w:r>
      <w:r>
        <w:rPr>
          <w:rFonts w:hint="eastAsia" w:ascii="新宋体" w:hAnsi="新宋体" w:eastAsia="新宋体" w:cs="Times New Roman"/>
          <w:b/>
          <w:bCs/>
          <w:sz w:val="28"/>
          <w:szCs w:val="28"/>
          <w:lang w:val="en-US" w:eastAsia="zh-CN"/>
        </w:rPr>
        <w:t>5</w:t>
      </w:r>
      <w:r>
        <w:rPr>
          <w:rFonts w:hint="eastAsia" w:ascii="新宋体" w:hAnsi="新宋体" w:eastAsia="新宋体" w:cs="Times New Roman"/>
          <w:b/>
          <w:bCs/>
          <w:sz w:val="28"/>
          <w:szCs w:val="28"/>
        </w:rPr>
        <w:t>个工作日内按规定标准缴纳交易服务费。</w:t>
      </w:r>
    </w:p>
    <w:p w14:paraId="39B19C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w:t>
      </w:r>
      <w:r>
        <w:rPr>
          <w:rFonts w:hint="eastAsia" w:ascii="新宋体" w:hAnsi="新宋体" w:eastAsia="新宋体" w:cs="Times New Roman"/>
          <w:b/>
          <w:bCs/>
          <w:color w:val="C00000"/>
          <w:sz w:val="28"/>
          <w:szCs w:val="28"/>
          <w:lang w:val="en-US" w:eastAsia="zh-CN"/>
        </w:rPr>
        <w:t>2</w:t>
      </w:r>
      <w:r>
        <w:rPr>
          <w:rFonts w:hint="eastAsia" w:ascii="新宋体" w:hAnsi="新宋体" w:eastAsia="新宋体" w:cs="Times New Roman"/>
          <w:b/>
          <w:bCs/>
          <w:color w:val="C00000"/>
          <w:sz w:val="28"/>
          <w:szCs w:val="28"/>
        </w:rPr>
        <w:t>、服务费收费标准：</w:t>
      </w:r>
    </w:p>
    <w:p w14:paraId="2C6B7C19">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73"/>
        <w:gridCol w:w="3726"/>
      </w:tblGrid>
      <w:tr w14:paraId="5649432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185C6F0">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26" w:type="dxa"/>
            <w:shd w:val="clear" w:color="auto" w:fill="FFFFFF"/>
            <w:vAlign w:val="center"/>
          </w:tcPr>
          <w:p w14:paraId="3EBF119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611A53A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382FCE1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26" w:type="dxa"/>
            <w:shd w:val="clear" w:color="auto" w:fill="FFFFFF"/>
            <w:vAlign w:val="center"/>
          </w:tcPr>
          <w:p w14:paraId="0E3C978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5D91B0F5">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1823B32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26" w:type="dxa"/>
            <w:shd w:val="clear" w:color="auto" w:fill="FFFFFF"/>
            <w:vAlign w:val="center"/>
          </w:tcPr>
          <w:p w14:paraId="55F582F3">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0FDE9B3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62" w:hRule="atLeast"/>
        </w:trPr>
        <w:tc>
          <w:tcPr>
            <w:tcW w:w="4473" w:type="dxa"/>
            <w:shd w:val="clear" w:color="auto" w:fill="FFFFFF"/>
            <w:vAlign w:val="center"/>
          </w:tcPr>
          <w:p w14:paraId="5CD4D8C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26" w:type="dxa"/>
            <w:shd w:val="clear" w:color="auto" w:fill="FFFFFF"/>
            <w:vAlign w:val="center"/>
          </w:tcPr>
          <w:p w14:paraId="404FB15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170908FD">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4473" w:type="dxa"/>
            <w:shd w:val="clear" w:color="auto" w:fill="FFFFFF"/>
            <w:vAlign w:val="center"/>
          </w:tcPr>
          <w:p w14:paraId="1A45C7EF">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26" w:type="dxa"/>
            <w:shd w:val="clear" w:color="auto" w:fill="FFFFFF"/>
            <w:vAlign w:val="center"/>
          </w:tcPr>
          <w:p w14:paraId="59933A1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078698C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4473" w:type="dxa"/>
            <w:shd w:val="clear" w:color="auto" w:fill="FFFFFF"/>
            <w:vAlign w:val="center"/>
          </w:tcPr>
          <w:p w14:paraId="308C930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26" w:type="dxa"/>
            <w:shd w:val="clear" w:color="auto" w:fill="FFFFFF"/>
            <w:vAlign w:val="center"/>
          </w:tcPr>
          <w:p w14:paraId="36914D3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7FD07F9E">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69D51C8F">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1、每笔交易最低收费300元；</w:t>
      </w:r>
    </w:p>
    <w:p w14:paraId="3A7711D5">
      <w:pPr>
        <w:pStyle w:val="12"/>
        <w:widowControl/>
        <w:shd w:val="clear" w:color="auto" w:fill="FFFFFF"/>
        <w:spacing w:beforeAutospacing="0" w:afterAutospacing="0" w:line="500" w:lineRule="exact"/>
        <w:ind w:firstLine="420"/>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58EAFD35">
      <w:pPr>
        <w:pStyle w:val="12"/>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w:t>
      </w:r>
      <w:r>
        <w:rPr>
          <w:rFonts w:hint="eastAsia" w:ascii="微软雅黑" w:hAnsi="微软雅黑" w:eastAsia="微软雅黑" w:cs="微软雅黑"/>
          <w:b/>
          <w:bCs/>
          <w:color w:val="C00000"/>
          <w:kern w:val="2"/>
          <w:sz w:val="27"/>
          <w:szCs w:val="27"/>
          <w:shd w:val="clear" w:color="auto" w:fill="FFFFFF"/>
          <w:lang w:eastAsia="zh-CN"/>
        </w:rPr>
        <w:t>（</w:t>
      </w:r>
      <w:r>
        <w:rPr>
          <w:rFonts w:hint="eastAsia" w:ascii="微软雅黑" w:hAnsi="微软雅黑" w:eastAsia="微软雅黑" w:cs="微软雅黑"/>
          <w:b/>
          <w:bCs/>
          <w:color w:val="C00000"/>
          <w:kern w:val="2"/>
          <w:sz w:val="27"/>
          <w:szCs w:val="27"/>
          <w:shd w:val="clear" w:color="auto" w:fill="FFFFFF"/>
          <w:lang w:val="en-US" w:eastAsia="zh-CN"/>
        </w:rPr>
        <w:t>含两人）</w:t>
      </w:r>
      <w:r>
        <w:rPr>
          <w:rFonts w:hint="eastAsia" w:ascii="微软雅黑" w:hAnsi="微软雅黑" w:eastAsia="微软雅黑" w:cs="微软雅黑"/>
          <w:b/>
          <w:bCs/>
          <w:color w:val="C00000"/>
          <w:kern w:val="2"/>
          <w:sz w:val="27"/>
          <w:szCs w:val="27"/>
          <w:shd w:val="clear" w:color="auto" w:fill="FFFFFF"/>
        </w:rPr>
        <w:t>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3"/>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99"/>
        <w:gridCol w:w="4460"/>
      </w:tblGrid>
      <w:tr w14:paraId="327CD01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55F2C8A8">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460" w:type="dxa"/>
            <w:shd w:val="clear" w:color="auto" w:fill="FFFFFF"/>
            <w:vAlign w:val="center"/>
          </w:tcPr>
          <w:p w14:paraId="4F7A95E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6DACB71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1C1F9CD7">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460" w:type="dxa"/>
            <w:shd w:val="clear" w:color="auto" w:fill="FFFFFF"/>
            <w:vAlign w:val="center"/>
          </w:tcPr>
          <w:p w14:paraId="7FA8B4A6">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01018CE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35D347D2">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460" w:type="dxa"/>
            <w:shd w:val="clear" w:color="auto" w:fill="FFFFFF"/>
            <w:vAlign w:val="center"/>
          </w:tcPr>
          <w:p w14:paraId="09B1C49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4C7E7D6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43C5C7B5">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460" w:type="dxa"/>
            <w:shd w:val="clear" w:color="auto" w:fill="FFFFFF"/>
            <w:vAlign w:val="center"/>
          </w:tcPr>
          <w:p w14:paraId="5DD8AC19">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0EFDD5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62" w:hRule="atLeast"/>
        </w:trPr>
        <w:tc>
          <w:tcPr>
            <w:tcW w:w="3799" w:type="dxa"/>
            <w:shd w:val="clear" w:color="auto" w:fill="FFFFFF"/>
            <w:vAlign w:val="center"/>
          </w:tcPr>
          <w:p w14:paraId="5FC07DAB">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460" w:type="dxa"/>
            <w:shd w:val="clear" w:color="auto" w:fill="FFFFFF"/>
            <w:vAlign w:val="center"/>
          </w:tcPr>
          <w:p w14:paraId="0D68453C">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6877D9EC">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76" w:hRule="atLeast"/>
        </w:trPr>
        <w:tc>
          <w:tcPr>
            <w:tcW w:w="3799" w:type="dxa"/>
            <w:shd w:val="clear" w:color="auto" w:fill="FFFFFF"/>
            <w:vAlign w:val="center"/>
          </w:tcPr>
          <w:p w14:paraId="30521DBA">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460" w:type="dxa"/>
            <w:shd w:val="clear" w:color="auto" w:fill="FFFFFF"/>
            <w:vAlign w:val="center"/>
          </w:tcPr>
          <w:p w14:paraId="6BC01E9E">
            <w:pPr>
              <w:pStyle w:val="12"/>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524D6D66">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注：</w:t>
      </w:r>
    </w:p>
    <w:p w14:paraId="587D4540">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1、每笔交易最低收费500元；</w:t>
      </w:r>
    </w:p>
    <w:p w14:paraId="292FD0CF">
      <w:pPr>
        <w:spacing w:line="520" w:lineRule="exact"/>
        <w:rPr>
          <w:rFonts w:hint="eastAsia" w:ascii="微软雅黑" w:hAnsi="微软雅黑" w:eastAsia="微软雅黑" w:cs="微软雅黑"/>
          <w:color w:val="333333"/>
          <w:kern w:val="2"/>
          <w:sz w:val="27"/>
          <w:szCs w:val="27"/>
          <w:shd w:val="clear" w:color="auto" w:fill="FFFFFF"/>
          <w:lang w:val="en-US" w:eastAsia="zh-CN" w:bidi="ar-SA"/>
        </w:rPr>
      </w:pPr>
      <w:r>
        <w:rPr>
          <w:rFonts w:hint="eastAsia" w:ascii="微软雅黑" w:hAnsi="微软雅黑" w:eastAsia="微软雅黑" w:cs="微软雅黑"/>
          <w:color w:val="333333"/>
          <w:kern w:val="2"/>
          <w:sz w:val="27"/>
          <w:szCs w:val="27"/>
          <w:shd w:val="clear" w:color="auto" w:fill="FFFFFF"/>
          <w:lang w:val="en-US" w:eastAsia="zh-CN" w:bidi="ar-SA"/>
        </w:rPr>
        <w:t>2、转出方为农户个人、村集体，免收该项费用。</w:t>
      </w:r>
    </w:p>
    <w:p w14:paraId="280E0A0C">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3"/>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0734CA64">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67489F8">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800EACA">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昌江黎族自治县农村产权交易中心有限公司</w:t>
            </w:r>
          </w:p>
        </w:tc>
      </w:tr>
      <w:tr w14:paraId="0523855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9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21A5AC0">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6B43F34">
            <w:pPr>
              <w:jc w:val="center"/>
              <w:rPr>
                <w:rFonts w:asciiTheme="minorEastAsia" w:hAnsiTheme="minorEastAsia" w:cstheme="minorEastAsia"/>
                <w:b/>
                <w:bCs/>
                <w:sz w:val="28"/>
                <w:szCs w:val="28"/>
              </w:rPr>
            </w:pPr>
            <w:r>
              <w:rPr>
                <w:rFonts w:hint="eastAsia" w:ascii="仿宋_GB2312" w:hAnsi="仿宋_GB2312" w:eastAsia="仿宋_GB2312" w:cs="仿宋_GB2312"/>
                <w:b/>
                <w:bCs/>
                <w:sz w:val="28"/>
                <w:szCs w:val="28"/>
                <w:lang w:val="en-US" w:eastAsia="zh-CN"/>
              </w:rPr>
              <w:t>海南</w:t>
            </w:r>
            <w:r>
              <w:rPr>
                <w:rFonts w:hint="eastAsia" w:ascii="仿宋_GB2312" w:hAnsi="仿宋_GB2312" w:eastAsia="仿宋_GB2312" w:cs="仿宋_GB2312"/>
                <w:b/>
                <w:bCs/>
                <w:sz w:val="28"/>
                <w:szCs w:val="28"/>
              </w:rPr>
              <w:t>农商银行昌江支行</w:t>
            </w:r>
          </w:p>
        </w:tc>
      </w:tr>
      <w:tr w14:paraId="5EF0FCC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6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285F2257">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272B155">
            <w:pPr>
              <w:jc w:val="center"/>
              <w:rPr>
                <w:rFonts w:hint="default" w:asciiTheme="minorEastAsia" w:hAnsiTheme="minorEastAsia" w:cstheme="minorEastAsia"/>
                <w:b/>
                <w:bCs/>
                <w:sz w:val="28"/>
                <w:szCs w:val="28"/>
                <w:lang w:val="en-US"/>
              </w:rPr>
            </w:pPr>
            <w:r>
              <w:rPr>
                <w:rFonts w:hint="eastAsia" w:ascii="仿宋_GB2312" w:hAnsi="仿宋_GB2312" w:eastAsia="仿宋_GB2312" w:cs="仿宋_GB2312"/>
                <w:b/>
                <w:bCs/>
                <w:sz w:val="28"/>
                <w:szCs w:val="28"/>
                <w:lang w:val="en-US" w:eastAsia="zh-CN"/>
              </w:rPr>
              <w:t>1022324700000138</w:t>
            </w:r>
          </w:p>
        </w:tc>
      </w:tr>
    </w:tbl>
    <w:p w14:paraId="0D1E659A">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3</w:t>
      </w:r>
      <w:r>
        <w:rPr>
          <w:rFonts w:hint="eastAsia" w:ascii="新宋体" w:hAnsi="新宋体" w:eastAsia="新宋体" w:cs="Times New Roman"/>
          <w:sz w:val="28"/>
          <w:szCs w:val="28"/>
        </w:rPr>
        <w:t>、未成交的竞买方交易保证金，</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将按《</w:t>
      </w:r>
      <w:r>
        <w:rPr>
          <w:rFonts w:hint="eastAsia" w:ascii="新宋体" w:hAnsi="新宋体" w:eastAsia="新宋体" w:cs="Times New Roman"/>
          <w:sz w:val="28"/>
          <w:szCs w:val="28"/>
          <w:lang w:eastAsia="zh-CN"/>
        </w:rPr>
        <w:t>昌江农村产权交易中心</w:t>
      </w:r>
      <w:r>
        <w:rPr>
          <w:rFonts w:hint="eastAsia" w:ascii="新宋体" w:hAnsi="新宋体" w:eastAsia="新宋体" w:cs="Times New Roman"/>
          <w:sz w:val="28"/>
          <w:szCs w:val="28"/>
        </w:rPr>
        <w:t>交易保证金操作规则（试行）》有关规定办理。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3D99A490">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w:t>
      </w:r>
      <w:r>
        <w:rPr>
          <w:rFonts w:hint="eastAsia" w:ascii="新宋体" w:hAnsi="新宋体" w:eastAsia="新宋体" w:cs="Times New Roman"/>
          <w:b/>
          <w:bCs/>
          <w:sz w:val="28"/>
          <w:szCs w:val="28"/>
          <w:lang w:val="en-US" w:eastAsia="zh-CN"/>
        </w:rPr>
        <w:t>4</w:t>
      </w:r>
      <w:r>
        <w:rPr>
          <w:rFonts w:hint="eastAsia" w:ascii="新宋体" w:hAnsi="新宋体" w:eastAsia="新宋体" w:cs="Times New Roman"/>
          <w:b/>
          <w:bCs/>
          <w:sz w:val="28"/>
          <w:szCs w:val="28"/>
        </w:rPr>
        <w:t>、竞买方未按信息公告内容或交易流程要求履行交易程序的，</w:t>
      </w:r>
      <w:r>
        <w:rPr>
          <w:rFonts w:hint="eastAsia" w:ascii="新宋体" w:hAnsi="新宋体" w:eastAsia="新宋体" w:cs="Times New Roman"/>
          <w:b/>
          <w:bCs/>
          <w:sz w:val="28"/>
          <w:szCs w:val="28"/>
          <w:lang w:eastAsia="zh-CN"/>
        </w:rPr>
        <w:t>农交中心</w:t>
      </w:r>
      <w:r>
        <w:rPr>
          <w:rFonts w:hint="eastAsia" w:ascii="新宋体" w:hAnsi="新宋体" w:eastAsia="新宋体" w:cs="Times New Roman"/>
          <w:b/>
          <w:bCs/>
          <w:sz w:val="28"/>
          <w:szCs w:val="28"/>
        </w:rPr>
        <w:t>有权扣除交易保证金作为相关方的补偿。</w:t>
      </w:r>
    </w:p>
    <w:p w14:paraId="102DC5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5</w:t>
      </w:r>
      <w:r>
        <w:rPr>
          <w:rFonts w:hint="eastAsia" w:ascii="新宋体" w:hAnsi="新宋体" w:eastAsia="新宋体" w:cs="Times New Roman"/>
          <w:sz w:val="28"/>
          <w:szCs w:val="28"/>
        </w:rPr>
        <w:t>、交易双方自行办理标的交易价款结算，并进行标的交割。有需要办理变更、过户登记手续的，交易双方凭交易合同等材料到相关部门办理。</w:t>
      </w:r>
    </w:p>
    <w:p w14:paraId="4087C1B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6</w:t>
      </w:r>
      <w:r>
        <w:rPr>
          <w:rFonts w:hint="eastAsia" w:ascii="新宋体" w:hAnsi="新宋体" w:eastAsia="新宋体" w:cs="Times New Roman"/>
          <w:sz w:val="28"/>
          <w:szCs w:val="28"/>
        </w:rPr>
        <w:t>、其他未尽事宜，按照服务协议、交易细则、交易文件及有关规定执行。</w:t>
      </w:r>
    </w:p>
    <w:p w14:paraId="5C6B7A62">
      <w:pPr>
        <w:spacing w:line="520" w:lineRule="exact"/>
        <w:ind w:firstLine="560" w:firstLineChars="200"/>
        <w:rPr>
          <w:rFonts w:hint="eastAsia" w:ascii="新宋体" w:hAnsi="新宋体" w:eastAsia="新宋体" w:cs="Times New Roman"/>
          <w:sz w:val="28"/>
          <w:szCs w:val="28"/>
        </w:rPr>
      </w:pPr>
      <w:r>
        <w:rPr>
          <w:rFonts w:hint="eastAsia" w:ascii="新宋体" w:hAnsi="新宋体" w:eastAsia="新宋体" w:cs="Times New Roman"/>
          <w:sz w:val="28"/>
          <w:szCs w:val="28"/>
        </w:rPr>
        <w:t>2</w:t>
      </w:r>
      <w:r>
        <w:rPr>
          <w:rFonts w:hint="eastAsia" w:ascii="新宋体" w:hAnsi="新宋体" w:eastAsia="新宋体" w:cs="Times New Roman"/>
          <w:sz w:val="28"/>
          <w:szCs w:val="28"/>
          <w:lang w:val="en-US" w:eastAsia="zh-CN"/>
        </w:rPr>
        <w:t>7</w:t>
      </w:r>
      <w:r>
        <w:rPr>
          <w:rFonts w:hint="eastAsia" w:ascii="新宋体" w:hAnsi="新宋体" w:eastAsia="新宋体" w:cs="Times New Roman"/>
          <w:sz w:val="28"/>
          <w:szCs w:val="28"/>
        </w:rPr>
        <w:t>、本《网络竞价须知》有关条款的解释权归</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所有，</w:t>
      </w:r>
      <w:r>
        <w:rPr>
          <w:rFonts w:hint="eastAsia" w:ascii="新宋体" w:hAnsi="新宋体" w:eastAsia="新宋体" w:cs="Times New Roman"/>
          <w:sz w:val="28"/>
          <w:szCs w:val="28"/>
          <w:lang w:eastAsia="zh-CN"/>
        </w:rPr>
        <w:t>农交中心</w:t>
      </w:r>
      <w:r>
        <w:rPr>
          <w:rFonts w:hint="eastAsia" w:ascii="新宋体" w:hAnsi="新宋体" w:eastAsia="新宋体" w:cs="Times New Roman"/>
          <w:sz w:val="28"/>
          <w:szCs w:val="28"/>
        </w:rPr>
        <w:t>有权根据相关法律、法规进行变更和修订。</w:t>
      </w:r>
    </w:p>
    <w:p w14:paraId="0F038479">
      <w:pPr>
        <w:bidi w:val="0"/>
      </w:pPr>
    </w:p>
    <w:p w14:paraId="7C6A48B4">
      <w:pPr>
        <w:spacing w:line="520" w:lineRule="exact"/>
      </w:pPr>
      <w:r>
        <w:rPr>
          <w:rFonts w:hint="eastAsia" w:ascii="Times New Roman" w:hAnsi="Times New Roman"/>
          <w:sz w:val="32"/>
          <w:szCs w:val="32"/>
        </w:rPr>
        <w:t>已详细阅读此竞价须知，对此竞价须知无异议。</w:t>
      </w:r>
    </w:p>
    <w:p w14:paraId="23240C30">
      <w:pPr>
        <w:spacing w:line="520" w:lineRule="exact"/>
        <w:ind w:firstLine="3200" w:firstLineChars="1000"/>
        <w:rPr>
          <w:rFonts w:hint="eastAsia" w:ascii="Times New Roman" w:hAnsi="Times New Roman"/>
          <w:sz w:val="32"/>
          <w:szCs w:val="32"/>
        </w:rPr>
      </w:pPr>
    </w:p>
    <w:p w14:paraId="3904B635">
      <w:pPr>
        <w:spacing w:line="520" w:lineRule="exact"/>
        <w:ind w:firstLine="3200" w:firstLineChars="1000"/>
        <w:rPr>
          <w:rFonts w:hint="eastAsia" w:ascii="Times New Roman" w:hAnsi="Times New Roman"/>
          <w:sz w:val="32"/>
          <w:szCs w:val="32"/>
        </w:rPr>
      </w:pPr>
      <w:r>
        <w:rPr>
          <w:rFonts w:hint="eastAsia" w:ascii="Times New Roman" w:hAnsi="Times New Roman"/>
          <w:sz w:val="32"/>
          <w:szCs w:val="32"/>
        </w:rPr>
        <w:t>签字（盖章）确认：</w:t>
      </w:r>
    </w:p>
    <w:p w14:paraId="23B6C5FB">
      <w:pPr>
        <w:spacing w:line="520" w:lineRule="exact"/>
        <w:ind w:firstLine="3200" w:firstLineChars="1000"/>
        <w:rPr>
          <w:rFonts w:ascii="黑体" w:hAnsi="黑体"/>
          <w:color w:val="000000"/>
        </w:rPr>
      </w:pPr>
      <w:r>
        <w:rPr>
          <w:rFonts w:hint="eastAsia" w:ascii="Times New Roman" w:hAnsi="Times New Roman" w:eastAsiaTheme="minorEastAsia" w:cstheme="minorBidi"/>
          <w:b w:val="0"/>
          <w:kern w:val="2"/>
          <w:sz w:val="32"/>
          <w:szCs w:val="32"/>
          <w:lang w:val="en-US" w:eastAsia="zh-CN" w:bidi="ar-SA"/>
        </w:rPr>
        <w:t>日期：     年     月   日</w:t>
      </w:r>
    </w:p>
    <w:p w14:paraId="2B7F3C6C">
      <w:pPr>
        <w:pStyle w:val="3"/>
        <w:spacing w:line="240" w:lineRule="auto"/>
        <w:jc w:val="both"/>
        <w:rPr>
          <w:rFonts w:ascii="黑体" w:hAnsi="黑体"/>
          <w:color w:val="000000"/>
        </w:rPr>
        <w:sectPr>
          <w:pgSz w:w="11906" w:h="16838"/>
          <w:pgMar w:top="1440" w:right="1800" w:bottom="1440" w:left="1800" w:header="851" w:footer="992" w:gutter="0"/>
          <w:cols w:space="425" w:num="1"/>
          <w:docGrid w:type="lines" w:linePitch="312" w:charSpace="0"/>
        </w:sectPr>
      </w:pPr>
    </w:p>
    <w:p w14:paraId="15AB0BC9">
      <w:pPr>
        <w:pStyle w:val="3"/>
        <w:spacing w:line="240" w:lineRule="auto"/>
        <w:jc w:val="center"/>
        <w:rPr>
          <w:rStyle w:val="16"/>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136A5DD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lang w:val="en-US" w:eastAsia="zh-CN"/>
        </w:rPr>
        <w:t>昌江农村产权交易中心</w:t>
      </w:r>
      <w:r>
        <w:rPr>
          <w:rFonts w:hint="eastAsia" w:ascii="Times New Roman" w:hAnsi="Times New Roman"/>
          <w:sz w:val="28"/>
          <w:szCs w:val="28"/>
        </w:rPr>
        <w:t>：</w:t>
      </w:r>
    </w:p>
    <w:p w14:paraId="39B30193">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昌江县石碌镇红棉西路和悦小区1-114商铺189.33m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项目网络竞价活动作出如下承诺：</w:t>
      </w:r>
    </w:p>
    <w:p w14:paraId="0218319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昌江县石碌镇红棉西路和悦小区1-114商铺189.33m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项目网络竞价活动，并参与报价。</w:t>
      </w:r>
    </w:p>
    <w:p w14:paraId="559CE81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二、本竞买方对</w:t>
      </w:r>
      <w:r>
        <w:rPr>
          <w:rFonts w:ascii="Times New Roman" w:hAnsi="Times New Roman"/>
          <w:sz w:val="28"/>
          <w:szCs w:val="28"/>
        </w:rPr>
        <w:t>“</w:t>
      </w:r>
      <w:r>
        <w:rPr>
          <w:rFonts w:hint="eastAsia" w:ascii="新宋体" w:hAnsi="新宋体" w:eastAsia="新宋体"/>
          <w:b/>
          <w:bCs/>
          <w:color w:val="C00000"/>
          <w:sz w:val="28"/>
          <w:szCs w:val="28"/>
          <w:u w:val="single"/>
        </w:rPr>
        <w:t>昌江县石碌镇红棉西路和悦小区1-114商铺189.33m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w:t>
      </w:r>
      <w:r>
        <w:rPr>
          <w:rFonts w:hint="eastAsia" w:ascii="新宋体" w:hAnsi="新宋体" w:eastAsia="新宋体"/>
          <w:sz w:val="28"/>
          <w:szCs w:val="28"/>
          <w:lang w:val="en-US" w:eastAsia="zh-CN"/>
        </w:rPr>
        <w:t>昌江农村产权交易中心</w:t>
      </w:r>
      <w:r>
        <w:rPr>
          <w:rFonts w:hint="eastAsia" w:ascii="新宋体" w:hAnsi="新宋体" w:eastAsia="新宋体"/>
          <w:sz w:val="28"/>
          <w:szCs w:val="28"/>
        </w:rPr>
        <w:t>网络竞价实施办法（试行）》《</w:t>
      </w:r>
      <w:r>
        <w:rPr>
          <w:rFonts w:hint="eastAsia" w:ascii="Times New Roman" w:hAnsi="Times New Roman"/>
          <w:sz w:val="28"/>
          <w:szCs w:val="28"/>
        </w:rPr>
        <w:t>网络竞价须知》已充分了解，并自愿遵守文件中的相关规定。</w:t>
      </w:r>
    </w:p>
    <w:p w14:paraId="0436475B">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w:t>
      </w:r>
      <w:r>
        <w:rPr>
          <w:rFonts w:hint="eastAsia" w:ascii="Times New Roman" w:hAnsi="Times New Roman"/>
          <w:sz w:val="28"/>
          <w:szCs w:val="28"/>
          <w:lang w:eastAsia="zh-CN"/>
        </w:rPr>
        <w:t>出租</w:t>
      </w:r>
      <w:r>
        <w:rPr>
          <w:rFonts w:hint="eastAsia" w:ascii="Times New Roman" w:hAnsi="Times New Roman"/>
          <w:sz w:val="28"/>
          <w:szCs w:val="28"/>
        </w:rPr>
        <w:t>（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Times New Roman" w:hAnsi="Times New Roman"/>
          <w:sz w:val="28"/>
          <w:szCs w:val="28"/>
          <w:lang w:val="en-US" w:eastAsia="zh-CN"/>
        </w:rPr>
        <w:t>昌江农村产权交易中心</w:t>
      </w:r>
      <w:r>
        <w:rPr>
          <w:rFonts w:hint="eastAsia" w:ascii="新宋体" w:hAnsi="新宋体" w:eastAsia="新宋体" w:cs="Times New Roman"/>
          <w:sz w:val="28"/>
          <w:szCs w:val="28"/>
          <w:lang w:val="en-US" w:eastAsia="zh-CN"/>
        </w:rPr>
        <w:t>（以下简称“农交中心”）网站</w:t>
      </w:r>
      <w:r>
        <w:rPr>
          <w:rFonts w:hint="eastAsia" w:ascii="新宋体" w:hAnsi="新宋体" w:eastAsia="新宋体" w:cs="Times New Roman"/>
          <w:sz w:val="28"/>
          <w:szCs w:val="28"/>
        </w:rPr>
        <w:t>（http://</w:t>
      </w:r>
      <w:r>
        <w:rPr>
          <w:rFonts w:hint="eastAsia" w:ascii="新宋体" w:hAnsi="新宋体" w:eastAsia="新宋体" w:cs="Times New Roman"/>
          <w:sz w:val="28"/>
          <w:szCs w:val="28"/>
          <w:lang w:val="en-US" w:eastAsia="zh-CN"/>
        </w:rPr>
        <w:t>changjiang</w:t>
      </w:r>
      <w:r>
        <w:rPr>
          <w:rFonts w:hint="eastAsia" w:ascii="新宋体" w:hAnsi="新宋体" w:eastAsia="新宋体" w:cs="Times New Roman"/>
          <w:sz w:val="28"/>
          <w:szCs w:val="28"/>
        </w:rPr>
        <w:t>.nongjiao.com）</w:t>
      </w:r>
      <w:r>
        <w:rPr>
          <w:rFonts w:hint="eastAsia" w:ascii="Times New Roman" w:hAnsi="Times New Roman"/>
          <w:sz w:val="28"/>
          <w:szCs w:val="28"/>
        </w:rPr>
        <w:t>无关。</w:t>
      </w:r>
    </w:p>
    <w:p w14:paraId="70360A3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w:t>
      </w:r>
      <w:r>
        <w:rPr>
          <w:rFonts w:hint="eastAsia" w:ascii="Times New Roman" w:hAnsi="Times New Roman"/>
          <w:sz w:val="28"/>
          <w:szCs w:val="28"/>
          <w:lang w:eastAsia="zh-CN"/>
        </w:rPr>
        <w:t>出租</w:t>
      </w:r>
      <w:r>
        <w:rPr>
          <w:rFonts w:hint="eastAsia" w:ascii="Times New Roman" w:hAnsi="Times New Roman"/>
          <w:sz w:val="28"/>
          <w:szCs w:val="28"/>
        </w:rPr>
        <w:t>（转让）方和</w:t>
      </w:r>
      <w:r>
        <w:rPr>
          <w:rFonts w:hint="eastAsia" w:ascii="Times New Roman" w:hAnsi="Times New Roman"/>
          <w:sz w:val="28"/>
          <w:szCs w:val="28"/>
          <w:lang w:eastAsia="zh-CN"/>
        </w:rPr>
        <w:t>农交中心</w:t>
      </w:r>
      <w:r>
        <w:rPr>
          <w:rFonts w:hint="eastAsia" w:ascii="Times New Roman" w:hAnsi="Times New Roman"/>
          <w:sz w:val="28"/>
          <w:szCs w:val="28"/>
        </w:rPr>
        <w:t>有权根据《网络竞价须知》的规定扣除保证金。</w:t>
      </w:r>
    </w:p>
    <w:p w14:paraId="5E04F818">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昌江</w:t>
      </w:r>
      <w:r>
        <w:rPr>
          <w:rFonts w:hint="eastAsia" w:ascii="Times New Roman" w:hAnsi="Times New Roman"/>
          <w:sz w:val="28"/>
          <w:szCs w:val="28"/>
        </w:rPr>
        <w:t>农村产权交易服务</w:t>
      </w:r>
      <w:r>
        <w:rPr>
          <w:rFonts w:hint="eastAsia" w:ascii="Times New Roman" w:hAnsi="Times New Roman"/>
          <w:sz w:val="28"/>
          <w:szCs w:val="28"/>
          <w:lang w:eastAsia="zh-CN"/>
        </w:rPr>
        <w:t>农交中心</w:t>
      </w:r>
      <w:r>
        <w:rPr>
          <w:rFonts w:hint="eastAsia" w:ascii="Times New Roman" w:hAnsi="Times New Roman"/>
          <w:sz w:val="28"/>
          <w:szCs w:val="28"/>
        </w:rPr>
        <w:t>书面通知要求与</w:t>
      </w:r>
      <w:r>
        <w:rPr>
          <w:rFonts w:hint="eastAsia" w:ascii="Times New Roman" w:hAnsi="Times New Roman"/>
          <w:sz w:val="28"/>
          <w:szCs w:val="28"/>
          <w:lang w:eastAsia="zh-CN"/>
        </w:rPr>
        <w:t>出租</w:t>
      </w:r>
      <w:r>
        <w:rPr>
          <w:rFonts w:hint="eastAsia" w:ascii="Times New Roman" w:hAnsi="Times New Roman"/>
          <w:sz w:val="28"/>
          <w:szCs w:val="28"/>
        </w:rPr>
        <w:t>（转让）方签署交易合同，并按《产权交易结算通知书》的约定支付交易价款。</w:t>
      </w:r>
    </w:p>
    <w:p w14:paraId="0939825C">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4B06870B">
      <w:pPr>
        <w:pStyle w:val="11"/>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E86AE10">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2B1E3964">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6D6E285C">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pPr>
    </w:p>
    <w:p w14:paraId="5C9EFFCD">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hint="eastAsia" w:ascii="Times New Roman" w:hAnsi="Times New Roman"/>
          <w:sz w:val="28"/>
          <w:szCs w:val="28"/>
        </w:rPr>
        <w:sectPr>
          <w:pgSz w:w="11906" w:h="16838"/>
          <w:pgMar w:top="1240" w:right="1800" w:bottom="1318" w:left="1800" w:header="851" w:footer="992" w:gutter="0"/>
          <w:cols w:space="425" w:num="1"/>
          <w:docGrid w:type="lines" w:linePitch="312" w:charSpace="0"/>
        </w:sectPr>
      </w:pPr>
    </w:p>
    <w:p w14:paraId="03726C50">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1101DE09">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143FA425">
      <w:pPr>
        <w:rPr>
          <w:rFonts w:ascii="仿宋_GB2312" w:hAnsi="仿宋_GB2312" w:eastAsia="仿宋_GB2312" w:cs="仿宋_GB2312"/>
          <w:color w:val="000000"/>
          <w:sz w:val="36"/>
          <w:szCs w:val="30"/>
        </w:rPr>
      </w:pPr>
    </w:p>
    <w:p w14:paraId="2AF0C109">
      <w:pPr>
        <w:rPr>
          <w:rFonts w:ascii="仿宋_GB2312" w:hAnsi="仿宋_GB2312" w:eastAsia="仿宋_GB2312" w:cs="仿宋_GB2312"/>
          <w:color w:val="000000"/>
          <w:sz w:val="30"/>
          <w:szCs w:val="30"/>
        </w:rPr>
      </w:pPr>
    </w:p>
    <w:p w14:paraId="6A6D56B0">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75E211D9">
      <w:pPr>
        <w:rPr>
          <w:rFonts w:ascii="仿宋_GB2312" w:hAnsi="仿宋_GB2312" w:eastAsia="仿宋_GB2312" w:cs="仿宋_GB2312"/>
          <w:b/>
          <w:color w:val="000000"/>
          <w:sz w:val="30"/>
          <w:szCs w:val="30"/>
        </w:rPr>
      </w:pPr>
    </w:p>
    <w:p w14:paraId="2D7C18BD">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25E25A2E">
      <w:pPr>
        <w:rPr>
          <w:rFonts w:ascii="仿宋_GB2312" w:hAnsi="仿宋_GB2312" w:eastAsia="仿宋_GB2312" w:cs="仿宋_GB2312"/>
          <w:b/>
          <w:color w:val="000000"/>
          <w:sz w:val="30"/>
          <w:szCs w:val="30"/>
          <w:u w:val="single"/>
        </w:rPr>
      </w:pPr>
    </w:p>
    <w:p w14:paraId="4620B27C">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1DAC9030">
                      <w:pPr>
                        <w:jc w:val="center"/>
                        <w:rPr>
                          <w:b/>
                          <w:sz w:val="42"/>
                        </w:rPr>
                      </w:pPr>
                    </w:p>
                    <w:p w14:paraId="4E38AF4A">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19891430">
                      <w:pPr>
                        <w:rPr>
                          <w:rFonts w:ascii="仿宋_GB2312" w:hAnsi="仿宋_GB2312" w:eastAsia="仿宋_GB2312" w:cs="仿宋_GB2312"/>
                          <w:sz w:val="24"/>
                        </w:rPr>
                      </w:pPr>
                    </w:p>
                    <w:p w14:paraId="1BFCE445">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eastAsia="zh-CN"/>
                        </w:rPr>
                        <w:t>昌江农村产权交易中心</w:t>
                      </w:r>
                      <w:r>
                        <w:rPr>
                          <w:rFonts w:hint="eastAsia" w:ascii="仿宋_GB2312" w:hAnsi="仿宋_GB2312" w:eastAsia="仿宋_GB2312" w:cs="仿宋_GB2312"/>
                          <w:sz w:val="24"/>
                          <w:szCs w:val="22"/>
                        </w:rPr>
                        <w:t>农村产权交易规则（试行）</w:t>
                      </w:r>
                      <w:r>
                        <w:rPr>
                          <w:rFonts w:hint="eastAsia" w:ascii="仿宋_GB2312" w:hAnsi="仿宋_GB2312" w:eastAsia="仿宋_GB2312" w:cs="仿宋_GB2312"/>
                          <w:sz w:val="24"/>
                        </w:rPr>
                        <w:t>》及相关规定。</w:t>
                      </w:r>
                    </w:p>
                    <w:p w14:paraId="516F607D">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7C6D7991">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920B4C3">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09DEA7E6">
      <w:pPr>
        <w:rPr>
          <w:rFonts w:ascii="仿宋_GB2312" w:hAnsi="仿宋_GB2312" w:eastAsia="仿宋_GB2312" w:cs="仿宋_GB2312"/>
          <w:color w:val="000000"/>
          <w:sz w:val="30"/>
          <w:szCs w:val="30"/>
        </w:rPr>
      </w:pPr>
    </w:p>
    <w:p w14:paraId="398E9067">
      <w:pPr>
        <w:rPr>
          <w:rFonts w:ascii="仿宋_GB2312" w:hAnsi="仿宋_GB2312" w:eastAsia="仿宋_GB2312" w:cs="仿宋_GB2312"/>
          <w:color w:val="000000"/>
          <w:sz w:val="30"/>
          <w:szCs w:val="30"/>
        </w:rPr>
      </w:pPr>
    </w:p>
    <w:p w14:paraId="0DD07853">
      <w:pPr>
        <w:rPr>
          <w:rFonts w:ascii="仿宋_GB2312" w:hAnsi="仿宋_GB2312" w:eastAsia="仿宋_GB2312" w:cs="仿宋_GB2312"/>
          <w:color w:val="000000"/>
          <w:sz w:val="30"/>
          <w:szCs w:val="30"/>
        </w:rPr>
      </w:pPr>
    </w:p>
    <w:p w14:paraId="77DADB64">
      <w:pPr>
        <w:rPr>
          <w:rFonts w:ascii="仿宋_GB2312" w:hAnsi="仿宋_GB2312" w:eastAsia="仿宋_GB2312" w:cs="仿宋_GB2312"/>
          <w:color w:val="000000"/>
          <w:sz w:val="30"/>
          <w:szCs w:val="30"/>
        </w:rPr>
      </w:pPr>
    </w:p>
    <w:p w14:paraId="20301932">
      <w:pPr>
        <w:rPr>
          <w:rFonts w:ascii="仿宋_GB2312" w:hAnsi="仿宋_GB2312" w:eastAsia="仿宋_GB2312" w:cs="仿宋_GB2312"/>
          <w:color w:val="000000"/>
          <w:sz w:val="30"/>
          <w:szCs w:val="30"/>
        </w:rPr>
      </w:pPr>
    </w:p>
    <w:p w14:paraId="2F34FFFC">
      <w:pPr>
        <w:rPr>
          <w:rFonts w:ascii="仿宋_GB2312" w:hAnsi="仿宋_GB2312" w:eastAsia="仿宋_GB2312" w:cs="仿宋_GB2312"/>
          <w:color w:val="000000"/>
          <w:sz w:val="30"/>
          <w:szCs w:val="30"/>
        </w:rPr>
      </w:pPr>
    </w:p>
    <w:p w14:paraId="46FEDADA">
      <w:pPr>
        <w:rPr>
          <w:rFonts w:ascii="仿宋_GB2312" w:hAnsi="仿宋_GB2312" w:eastAsia="仿宋_GB2312" w:cs="仿宋_GB2312"/>
          <w:color w:val="000000"/>
          <w:sz w:val="30"/>
          <w:szCs w:val="30"/>
        </w:rPr>
      </w:pPr>
    </w:p>
    <w:p w14:paraId="03B6AF17">
      <w:pPr>
        <w:pStyle w:val="6"/>
      </w:pPr>
    </w:p>
    <w:p w14:paraId="2FD7DFFA">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val="en-US" w:eastAsia="zh-CN"/>
        </w:rPr>
        <w:t>昌江农村产权交易中心</w:t>
      </w:r>
      <w:r>
        <w:rPr>
          <w:rFonts w:hint="eastAsia" w:ascii="仿宋_GB2312" w:hAnsi="仿宋_GB2312" w:eastAsia="仿宋_GB2312" w:cs="仿宋_GB2312"/>
          <w:b/>
          <w:color w:val="000000"/>
          <w:sz w:val="36"/>
          <w:szCs w:val="30"/>
        </w:rPr>
        <w:t>制</w:t>
      </w:r>
    </w:p>
    <w:p w14:paraId="474623D0">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lang w:eastAsia="zh-CN"/>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11</w:t>
      </w:r>
      <w:r>
        <w:rPr>
          <w:rFonts w:hint="eastAsia" w:ascii="仿宋_GB2312" w:hAnsi="仿宋_GB2312" w:eastAsia="仿宋_GB2312" w:cs="仿宋_GB2312"/>
          <w:b/>
          <w:color w:val="000000"/>
          <w:sz w:val="36"/>
          <w:szCs w:val="30"/>
        </w:rPr>
        <w:t>月</w:t>
      </w:r>
    </w:p>
    <w:p w14:paraId="44047019">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6134F090">
      <w:pPr>
        <w:pStyle w:val="3"/>
        <w:spacing w:line="400" w:lineRule="exact"/>
        <w:rPr>
          <w:rFonts w:ascii="仿宋" w:hAnsi="仿宋"/>
          <w:bCs/>
          <w:szCs w:val="36"/>
        </w:rPr>
      </w:pPr>
      <w:r>
        <w:rPr>
          <w:rFonts w:hint="eastAsia"/>
          <w:bCs/>
          <w:szCs w:val="36"/>
        </w:rPr>
        <w:t>意向承租（受让）函</w:t>
      </w:r>
    </w:p>
    <w:p w14:paraId="0BBF9B4D">
      <w:pPr>
        <w:rPr>
          <w:rFonts w:ascii="Times New Roman" w:hAnsi="Times New Roman" w:eastAsia="黑体"/>
          <w:bCs/>
          <w:sz w:val="24"/>
        </w:rPr>
      </w:pPr>
      <w:r>
        <w:rPr>
          <w:rFonts w:hint="eastAsia" w:ascii="Times New Roman" w:hAnsi="Times New Roman" w:eastAsia="黑体"/>
          <w:sz w:val="24"/>
          <w:lang w:val="en-US" w:eastAsia="zh-CN"/>
        </w:rPr>
        <w:t>昌江农村产权交易中心</w:t>
      </w:r>
      <w:r>
        <w:rPr>
          <w:rFonts w:hint="eastAsia" w:ascii="Times New Roman" w:hAnsi="Times New Roman" w:eastAsia="黑体"/>
          <w:sz w:val="24"/>
        </w:rPr>
        <w:t>：</w:t>
      </w:r>
    </w:p>
    <w:p w14:paraId="7BB5CB8B">
      <w:pPr>
        <w:spacing w:line="440" w:lineRule="exact"/>
        <w:ind w:firstLine="480" w:firstLineChars="200"/>
        <w:rPr>
          <w:sz w:val="24"/>
        </w:rPr>
      </w:pP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w:t>
      </w:r>
      <w:r>
        <w:rPr>
          <w:rFonts w:hint="eastAsia" w:ascii="Times New Roman" w:hAnsi="Times New Roman"/>
          <w:bCs/>
          <w:sz w:val="24"/>
          <w:lang w:val="en-US" w:eastAsia="zh-CN"/>
        </w:rPr>
        <w:t>昌江农村产权交易中心（以下简称“农交中心”）网站</w:t>
      </w:r>
      <w:r>
        <w:rPr>
          <w:rFonts w:hint="eastAsia" w:ascii="Times New Roman" w:hAnsi="Times New Roman"/>
          <w:bCs/>
          <w:sz w:val="24"/>
        </w:rPr>
        <w:t>（http://</w:t>
      </w:r>
      <w:r>
        <w:rPr>
          <w:rFonts w:hint="eastAsia" w:ascii="Times New Roman" w:hAnsi="Times New Roman"/>
          <w:bCs/>
          <w:sz w:val="24"/>
          <w:lang w:val="en-US" w:eastAsia="zh-CN"/>
        </w:rPr>
        <w:t>changjiang</w:t>
      </w:r>
      <w:r>
        <w:rPr>
          <w:rFonts w:hint="eastAsia" w:ascii="Times New Roman" w:hAnsi="Times New Roman"/>
          <w:bCs/>
          <w:sz w:val="24"/>
        </w:rPr>
        <w:t>.nongjiao.com）申请承租（受让）</w:t>
      </w:r>
      <w:r>
        <w:rPr>
          <w:rFonts w:hint="eastAsia" w:ascii="新宋体" w:hAnsi="新宋体" w:eastAsia="新宋体"/>
          <w:b/>
          <w:bCs/>
          <w:color w:val="C00000"/>
          <w:sz w:val="28"/>
          <w:szCs w:val="28"/>
          <w:u w:val="single"/>
        </w:rPr>
        <w:t>昌江县石碌镇红棉西路和悦小区1-114商铺189.33m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imes New Roman" w:hAnsi="Times New Roman"/>
          <w:bCs/>
          <w:sz w:val="24"/>
        </w:rPr>
        <w:t>，并承诺：</w:t>
      </w:r>
    </w:p>
    <w:p w14:paraId="3F2F2E1A">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63BA4DDC">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5F676ED">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0D1B1586">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、已知悉贵</w:t>
      </w:r>
      <w:r>
        <w:rPr>
          <w:rFonts w:hint="eastAsia" w:ascii="Times New Roman" w:hAnsi="Times New Roman"/>
          <w:b/>
          <w:sz w:val="24"/>
          <w:lang w:eastAsia="zh-CN"/>
        </w:rPr>
        <w:t>农交中心</w:t>
      </w:r>
      <w:r>
        <w:rPr>
          <w:rFonts w:hint="eastAsia" w:ascii="Times New Roman" w:hAnsi="Times New Roman"/>
          <w:b/>
          <w:sz w:val="24"/>
        </w:rPr>
        <w:t>的交易规则，并充分理解和认可，同意按照贵</w:t>
      </w:r>
      <w:r>
        <w:rPr>
          <w:rFonts w:hint="eastAsia" w:ascii="Times New Roman" w:hAnsi="Times New Roman"/>
          <w:b/>
          <w:sz w:val="24"/>
          <w:lang w:eastAsia="zh-CN"/>
        </w:rPr>
        <w:t>农交中心</w:t>
      </w:r>
      <w:r>
        <w:rPr>
          <w:rFonts w:hint="eastAsia" w:ascii="Times New Roman" w:hAnsi="Times New Roman"/>
          <w:b/>
          <w:sz w:val="24"/>
        </w:rPr>
        <w:t>《</w:t>
      </w:r>
      <w:r>
        <w:rPr>
          <w:rFonts w:hint="eastAsia" w:ascii="Times New Roman" w:hAnsi="Times New Roman"/>
          <w:b/>
          <w:sz w:val="24"/>
          <w:lang w:eastAsia="zh-CN"/>
        </w:rPr>
        <w:t>昌江农村产权交易中心</w:t>
      </w:r>
      <w:r>
        <w:rPr>
          <w:rFonts w:hint="eastAsia" w:ascii="Times New Roman" w:hAnsi="Times New Roman"/>
          <w:b/>
          <w:sz w:val="24"/>
        </w:rPr>
        <w:t>农村产权交易规则（试行）》等相关规定实施农村产权流转活动；</w:t>
      </w:r>
      <w:r>
        <w:rPr>
          <w:rFonts w:hint="eastAsia" w:ascii="Times New Roman" w:hAnsi="Times New Roman" w:eastAsia="宋体" w:cs="Times New Roman"/>
          <w:b/>
          <w:sz w:val="24"/>
        </w:rPr>
        <w:t>信息公告</w:t>
      </w:r>
      <w:r>
        <w:rPr>
          <w:rFonts w:hint="eastAsia" w:ascii="Times New Roman" w:hAnsi="Times New Roman" w:cs="Times New Roman"/>
          <w:b/>
          <w:sz w:val="24"/>
        </w:rPr>
        <w:t>期满后，若只征集到一个意向方，则协议成交；若征集到两个或两个以上意向方，则遵照相关规定，参与网络竞价。</w:t>
      </w:r>
    </w:p>
    <w:p w14:paraId="0C70F4EC">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w:t>
      </w:r>
      <w:r>
        <w:rPr>
          <w:rFonts w:hint="eastAsia" w:ascii="Times New Roman" w:hAnsi="Times New Roman"/>
          <w:b/>
          <w:sz w:val="24"/>
          <w:lang w:eastAsia="zh-CN"/>
        </w:rPr>
        <w:t>农交中心</w:t>
      </w:r>
      <w:r>
        <w:rPr>
          <w:rFonts w:hint="eastAsia" w:ascii="Times New Roman" w:hAnsi="Times New Roman"/>
          <w:b/>
          <w:sz w:val="24"/>
        </w:rPr>
        <w:t>的收费项目及标准，同意按规定交纳相关费用。</w:t>
      </w:r>
    </w:p>
    <w:p w14:paraId="11E66956">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3A43A4FB">
      <w:pPr>
        <w:spacing w:line="440" w:lineRule="exact"/>
        <w:ind w:firstLine="482" w:firstLineChars="200"/>
        <w:rPr>
          <w:rFonts w:ascii="Times New Roman" w:hAnsi="Times New Roman"/>
          <w:b/>
          <w:sz w:val="24"/>
        </w:rPr>
      </w:pPr>
      <w:bookmarkStart w:id="16" w:name="_Toc28981"/>
      <w:bookmarkStart w:id="17" w:name="_Toc13357"/>
      <w:bookmarkStart w:id="18" w:name="_Toc11532"/>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512E53AC">
      <w:pPr>
        <w:pStyle w:val="6"/>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0618ACB0">
      <w:pPr>
        <w:spacing w:line="440" w:lineRule="exact"/>
        <w:ind w:firstLine="482" w:firstLineChars="200"/>
        <w:rPr>
          <w:rFonts w:ascii="Times New Roman" w:hAnsi="Times New Roman"/>
          <w:b/>
          <w:sz w:val="24"/>
        </w:rPr>
      </w:pPr>
      <w:r>
        <w:rPr>
          <w:rFonts w:hint="eastAsia" w:ascii="Times New Roman" w:hAnsi="Times New Roman"/>
          <w:b/>
          <w:sz w:val="24"/>
        </w:rPr>
        <w:t>9、我方承诺按</w:t>
      </w:r>
      <w:r>
        <w:rPr>
          <w:rFonts w:hint="eastAsia" w:ascii="Times New Roman" w:hAnsi="Times New Roman"/>
          <w:b/>
          <w:sz w:val="24"/>
          <w:lang w:eastAsia="zh-CN"/>
        </w:rPr>
        <w:t>农交中心</w:t>
      </w:r>
      <w:r>
        <w:rPr>
          <w:rFonts w:hint="eastAsia" w:ascii="Times New Roman" w:hAnsi="Times New Roman"/>
          <w:b/>
          <w:sz w:val="24"/>
        </w:rPr>
        <w:t>规定交纳交易保证金，若我方无故放弃本项目或因我方自身原因放弃本项目的，视为违约，我方交纳的交易保证金将不予退还，作为违约金扣除。</w:t>
      </w:r>
    </w:p>
    <w:p w14:paraId="3496328C">
      <w:pPr>
        <w:pStyle w:val="6"/>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val="en-US" w:eastAsia="zh-CN"/>
        </w:rPr>
        <w:t>昌江农村产权交易中心</w:t>
      </w:r>
      <w:r>
        <w:rPr>
          <w:rFonts w:hint="eastAsia" w:ascii="Times New Roman" w:hAnsi="Times New Roman"/>
          <w:b/>
          <w:sz w:val="24"/>
          <w:szCs w:val="24"/>
        </w:rPr>
        <w:t>。</w:t>
      </w:r>
      <w:bookmarkEnd w:id="19"/>
      <w:bookmarkEnd w:id="20"/>
      <w:bookmarkEnd w:id="21"/>
    </w:p>
    <w:p w14:paraId="7080055C">
      <w:pPr>
        <w:spacing w:line="312" w:lineRule="auto"/>
        <w:ind w:firstLine="3840" w:firstLineChars="1600"/>
        <w:rPr>
          <w:rFonts w:ascii="宋体" w:hAnsi="宋体" w:eastAsia="宋体" w:cs="宋体"/>
          <w:sz w:val="24"/>
        </w:rPr>
      </w:pPr>
    </w:p>
    <w:p w14:paraId="4CD2AC17">
      <w:pPr>
        <w:spacing w:line="296" w:lineRule="auto"/>
        <w:ind w:firstLine="3840" w:firstLineChars="1600"/>
        <w:rPr>
          <w:rFonts w:ascii="宋体" w:hAnsi="宋体" w:eastAsia="宋体" w:cs="宋体"/>
          <w:sz w:val="24"/>
          <w:u w:val="single"/>
        </w:rPr>
      </w:pPr>
      <w:bookmarkStart w:id="22" w:name="_Toc29057"/>
      <w:bookmarkStart w:id="23" w:name="_Toc30986"/>
      <w:bookmarkStart w:id="24" w:name="_Toc4535"/>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60100DA8">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3F8999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69D232EF">
      <w:pPr>
        <w:pStyle w:val="3"/>
        <w:spacing w:line="240" w:lineRule="auto"/>
        <w:rPr>
          <w:rFonts w:ascii="黑体" w:hAnsi="黑体"/>
          <w:color w:val="000000"/>
        </w:rPr>
      </w:pPr>
      <w:bookmarkStart w:id="27" w:name="_Toc32101"/>
      <w:bookmarkStart w:id="28" w:name="_Toc4580"/>
      <w:bookmarkStart w:id="29" w:name="_Toc13094"/>
      <w:bookmarkStart w:id="30" w:name="_Toc12264"/>
      <w:bookmarkStart w:id="31" w:name="_Toc29841"/>
      <w:bookmarkStart w:id="32" w:name="_Toc11237"/>
      <w:bookmarkStart w:id="33" w:name="_Toc14469"/>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3"/>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6DF8C71C">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7A3E1DD5">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7048BE1">
            <w:pPr>
              <w:pStyle w:val="4"/>
              <w:rPr>
                <w:rFonts w:hint="default" w:eastAsiaTheme="minorEastAsia"/>
                <w:lang w:val="en-US" w:eastAsia="zh-CN"/>
              </w:rPr>
            </w:pPr>
            <w:r>
              <w:rPr>
                <w:rFonts w:hint="eastAsia"/>
                <w:lang w:val="en-US" w:eastAsia="zh-CN"/>
              </w:rPr>
              <w:t xml:space="preserve">     </w:t>
            </w:r>
          </w:p>
        </w:tc>
      </w:tr>
      <w:tr w14:paraId="4D54BC20">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DBB405D">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39A0A0CC">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656A72F5">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4D0E1B62">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5A35C141">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w:t>
            </w:r>
          </w:p>
        </w:tc>
      </w:tr>
      <w:tr w14:paraId="67472BEE">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7637FD0E">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9A0B3B">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0A18064D">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3ECBD8D9">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15F9188B">
            <w:pPr>
              <w:spacing w:line="360" w:lineRule="auto"/>
              <w:rPr>
                <w:rFonts w:ascii="宋体" w:hAnsi="宋体" w:eastAsia="宋体"/>
                <w:sz w:val="22"/>
              </w:rPr>
            </w:pPr>
          </w:p>
        </w:tc>
      </w:tr>
      <w:tr w14:paraId="20FA6FA0">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1FADB757">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7137976F">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3674A22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D93382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6CF54BE">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1510D97">
            <w:pPr>
              <w:spacing w:line="360" w:lineRule="auto"/>
              <w:rPr>
                <w:rFonts w:ascii="宋体" w:hAnsi="宋体" w:eastAsia="宋体"/>
                <w:sz w:val="22"/>
              </w:rPr>
            </w:pPr>
          </w:p>
        </w:tc>
      </w:tr>
      <w:tr w14:paraId="4B90D77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92DDE53">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4386EF4">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D8E50B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D4A0E6">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6116092A">
            <w:pPr>
              <w:spacing w:line="360" w:lineRule="auto"/>
              <w:rPr>
                <w:rFonts w:ascii="宋体" w:hAnsi="宋体" w:eastAsia="宋体"/>
                <w:sz w:val="22"/>
              </w:rPr>
            </w:pPr>
          </w:p>
        </w:tc>
      </w:tr>
      <w:tr w14:paraId="39DCB04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07D0FC">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CF5DBB">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BA785E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FF5E84F">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779CD93E">
            <w:pPr>
              <w:spacing w:line="360" w:lineRule="auto"/>
              <w:rPr>
                <w:rFonts w:ascii="宋体" w:hAnsi="宋体" w:eastAsia="宋体"/>
                <w:sz w:val="22"/>
              </w:rPr>
            </w:pPr>
          </w:p>
        </w:tc>
      </w:tr>
      <w:tr w14:paraId="52570A7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A04A1E1">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3AD3E9">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0879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19DE1C77">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4C65E674">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62AD312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66BA434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0727C47">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C7F550">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7D281E2">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17A837DD">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6C1652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7F7C12B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4C2B7819">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0944F3D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379F03">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7F960E">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4B9DD51D">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16F95C76">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F9BBA94">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379E1F6">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0B61C6F">
            <w:pPr>
              <w:spacing w:line="360" w:lineRule="auto"/>
              <w:jc w:val="center"/>
              <w:rPr>
                <w:rFonts w:ascii="宋体" w:hAnsi="宋体" w:eastAsia="宋体"/>
                <w:sz w:val="22"/>
              </w:rPr>
            </w:pPr>
          </w:p>
        </w:tc>
      </w:tr>
      <w:tr w14:paraId="656FBA2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5DA0547">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587FEC9">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5943272F">
            <w:pPr>
              <w:spacing w:line="360" w:lineRule="auto"/>
              <w:rPr>
                <w:rFonts w:ascii="宋体" w:hAnsi="宋体" w:eastAsia="宋体"/>
                <w:sz w:val="22"/>
              </w:rPr>
            </w:pPr>
          </w:p>
        </w:tc>
      </w:tr>
      <w:tr w14:paraId="4831BFF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A7CE3F">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14ED217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44F0F4D5">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E0678F4">
            <w:pPr>
              <w:spacing w:line="360" w:lineRule="auto"/>
              <w:ind w:left="48"/>
              <w:rPr>
                <w:rFonts w:ascii="宋体" w:hAnsi="宋体" w:eastAsia="宋体"/>
                <w:sz w:val="22"/>
              </w:rPr>
            </w:pPr>
            <w:r>
              <w:rPr>
                <w:rFonts w:hint="eastAsia" w:ascii="宋体" w:hAnsi="宋体" w:eastAsia="宋体"/>
                <w:sz w:val="22"/>
              </w:rPr>
              <w:t>报表时间：</w:t>
            </w:r>
          </w:p>
        </w:tc>
      </w:tr>
      <w:tr w14:paraId="003C12EC">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2CA6548">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75989498">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2207DC0D">
            <w:pPr>
              <w:pStyle w:val="18"/>
              <w:spacing w:line="360" w:lineRule="auto"/>
              <w:jc w:val="center"/>
              <w:rPr>
                <w:rFonts w:ascii="宋体" w:hAnsi="宋体" w:eastAsia="宋体"/>
                <w:sz w:val="22"/>
                <w:szCs w:val="24"/>
              </w:rPr>
            </w:pPr>
            <w:r>
              <w:rPr>
                <w:rFonts w:hint="eastAsia" w:ascii="宋体" w:hAnsi="宋体" w:eastAsia="宋体"/>
                <w:sz w:val="22"/>
                <w:szCs w:val="24"/>
              </w:rPr>
              <w:t>总资产</w:t>
            </w:r>
          </w:p>
          <w:p w14:paraId="044D1F71">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324EE7EF">
            <w:pPr>
              <w:pStyle w:val="18"/>
              <w:spacing w:line="360" w:lineRule="auto"/>
              <w:jc w:val="center"/>
            </w:pPr>
          </w:p>
          <w:p w14:paraId="08D95BE2"/>
        </w:tc>
        <w:tc>
          <w:tcPr>
            <w:tcW w:w="795" w:type="dxa"/>
            <w:gridSpan w:val="3"/>
            <w:tcBorders>
              <w:top w:val="single" w:color="auto" w:sz="4" w:space="0"/>
              <w:left w:val="single" w:color="auto" w:sz="4" w:space="0"/>
              <w:bottom w:val="single" w:color="auto" w:sz="4" w:space="0"/>
              <w:right w:val="single" w:color="auto" w:sz="4" w:space="0"/>
            </w:tcBorders>
            <w:vAlign w:val="center"/>
          </w:tcPr>
          <w:p w14:paraId="2910E7E9">
            <w:pPr>
              <w:pStyle w:val="18"/>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13ADE4FC">
            <w:pPr>
              <w:pStyle w:val="18"/>
              <w:spacing w:line="360" w:lineRule="auto"/>
              <w:jc w:val="center"/>
            </w:pPr>
          </w:p>
          <w:p w14:paraId="24F4363F">
            <w:pPr>
              <w:pStyle w:val="8"/>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6B18A720">
            <w:pPr>
              <w:pStyle w:val="18"/>
              <w:spacing w:line="360" w:lineRule="auto"/>
              <w:jc w:val="center"/>
              <w:rPr>
                <w:rFonts w:ascii="宋体" w:hAnsi="宋体" w:eastAsia="宋体"/>
                <w:sz w:val="22"/>
                <w:szCs w:val="24"/>
              </w:rPr>
            </w:pPr>
            <w:r>
              <w:rPr>
                <w:rFonts w:hint="eastAsia" w:ascii="宋体" w:hAnsi="宋体" w:eastAsia="宋体"/>
                <w:sz w:val="22"/>
                <w:szCs w:val="24"/>
              </w:rPr>
              <w:t>净资产</w:t>
            </w:r>
          </w:p>
          <w:p w14:paraId="30373F94">
            <w:pPr>
              <w:pStyle w:val="18"/>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6FC91F4C">
            <w:pPr>
              <w:pStyle w:val="18"/>
              <w:spacing w:line="360" w:lineRule="auto"/>
              <w:jc w:val="center"/>
              <w:rPr>
                <w:rFonts w:ascii="宋体" w:hAnsi="宋体" w:eastAsia="宋体"/>
                <w:sz w:val="22"/>
                <w:szCs w:val="24"/>
              </w:rPr>
            </w:pPr>
          </w:p>
        </w:tc>
      </w:tr>
      <w:tr w14:paraId="008006F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C389649">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1377BF3F">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368E732F">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EB12C39">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93A69D1">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05FA9211">
            <w:pPr>
              <w:spacing w:line="360" w:lineRule="auto"/>
              <w:jc w:val="center"/>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CF25D95">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319D756">
            <w:pPr>
              <w:spacing w:line="360" w:lineRule="auto"/>
              <w:jc w:val="center"/>
              <w:rPr>
                <w:rFonts w:hint="default" w:ascii="宋体" w:hAnsi="宋体" w:eastAsia="宋体"/>
                <w:sz w:val="22"/>
                <w:lang w:val="en-US" w:eastAsia="zh-CN"/>
              </w:rPr>
            </w:pPr>
          </w:p>
        </w:tc>
      </w:tr>
      <w:tr w14:paraId="2392A4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E89DEE3">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B1C1EF5">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6A7FAD1">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71C3D1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084F14BC">
            <w:pPr>
              <w:spacing w:line="360" w:lineRule="auto"/>
              <w:jc w:val="center"/>
              <w:rPr>
                <w:rFonts w:hint="default" w:ascii="宋体" w:hAnsi="宋体" w:eastAsia="宋体"/>
                <w:sz w:val="22"/>
                <w:lang w:val="en-US" w:eastAsia="zh-CN"/>
              </w:rPr>
            </w:pPr>
          </w:p>
        </w:tc>
      </w:tr>
      <w:tr w14:paraId="6F69AF6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80C55F8">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1A185DC">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05DC2A81">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34514DF9">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4C40551F">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44800D0">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095F23B6">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2D139EDA">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5D285296">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27E30F8F">
            <w:pPr>
              <w:spacing w:line="360" w:lineRule="auto"/>
              <w:rPr>
                <w:rFonts w:hint="default" w:ascii="宋体" w:hAnsi="宋体" w:eastAsia="宋体"/>
                <w:sz w:val="22"/>
                <w:lang w:val="en-US" w:eastAsia="zh-CN"/>
              </w:rPr>
            </w:pPr>
            <w:r>
              <w:rPr>
                <w:rFonts w:hint="eastAsia" w:ascii="宋体" w:hAnsi="宋体" w:eastAsia="宋体"/>
                <w:sz w:val="22"/>
                <w:lang w:val="en-US" w:eastAsia="zh-CN"/>
              </w:rPr>
              <w:t xml:space="preserve"> 种植果树</w:t>
            </w:r>
          </w:p>
        </w:tc>
      </w:tr>
      <w:tr w14:paraId="029344FE">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691A4721">
            <w:pPr>
              <w:spacing w:line="360" w:lineRule="auto"/>
              <w:jc w:val="center"/>
              <w:rPr>
                <w:rFonts w:ascii="宋体" w:hAnsi="宋体" w:eastAsia="宋体"/>
                <w:bCs/>
                <w:sz w:val="22"/>
              </w:rPr>
            </w:pPr>
            <w:r>
              <w:rPr>
                <w:rFonts w:hint="eastAsia" w:ascii="宋体" w:hAnsi="宋体" w:eastAsia="宋体"/>
                <w:bCs/>
                <w:sz w:val="22"/>
              </w:rPr>
              <w:t>附件</w:t>
            </w:r>
          </w:p>
          <w:p w14:paraId="724CAE90">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639100D9">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D29C9F2">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4C626C98">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8C8DDEE">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1C07923C">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E3D5C1D">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F796FD7">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9D04F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6F3CA66">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D91A71E">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CCDE93C">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6AE2E0D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070F3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1355839">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267F8A3">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74DC9517">
            <w:pPr>
              <w:spacing w:line="360" w:lineRule="auto"/>
              <w:jc w:val="left"/>
              <w:rPr>
                <w:rFonts w:ascii="宋体" w:hAnsi="宋体" w:eastAsia="宋体"/>
                <w:sz w:val="22"/>
              </w:rPr>
            </w:pPr>
          </w:p>
        </w:tc>
      </w:tr>
      <w:tr w14:paraId="101DDEFA">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1A2679D0">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45E321B">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F09C1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03F0A9B8">
            <w:pPr>
              <w:spacing w:line="360" w:lineRule="auto"/>
              <w:jc w:val="left"/>
              <w:rPr>
                <w:rFonts w:ascii="宋体" w:hAnsi="宋体" w:eastAsia="宋体"/>
                <w:sz w:val="22"/>
              </w:rPr>
            </w:pPr>
          </w:p>
        </w:tc>
      </w:tr>
      <w:tr w14:paraId="59D19879">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39498E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36D42497">
            <w:pPr>
              <w:spacing w:line="360" w:lineRule="auto"/>
              <w:jc w:val="center"/>
              <w:rPr>
                <w:rFonts w:ascii="宋体" w:hAnsi="宋体" w:eastAsia="宋体"/>
                <w:bCs/>
                <w:sz w:val="22"/>
              </w:rPr>
            </w:pPr>
            <w:r>
              <w:rPr>
                <w:rFonts w:hint="eastAsia" w:ascii="宋体" w:hAnsi="宋体" w:eastAsia="宋体"/>
                <w:bCs/>
                <w:sz w:val="22"/>
              </w:rPr>
              <w:t>法人单位</w:t>
            </w:r>
          </w:p>
          <w:p w14:paraId="6D855367">
            <w:pPr>
              <w:spacing w:line="360" w:lineRule="auto"/>
              <w:jc w:val="center"/>
              <w:rPr>
                <w:rFonts w:ascii="宋体" w:hAnsi="宋体" w:eastAsia="宋体"/>
                <w:bCs/>
                <w:sz w:val="22"/>
              </w:rPr>
            </w:pPr>
            <w:r>
              <w:rPr>
                <w:rFonts w:hint="eastAsia" w:ascii="宋体" w:hAnsi="宋体" w:eastAsia="宋体"/>
                <w:bCs/>
                <w:sz w:val="22"/>
              </w:rPr>
              <w:t>（如农业企业，</w:t>
            </w:r>
          </w:p>
          <w:p w14:paraId="63EA6963">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7D606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6322EF9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EFF1EBC">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27190DE4">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2D745D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20E11F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F9F9C9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86D3B83">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C0F048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57F75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E59ABB6">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42849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A003A1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48042F2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45992C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123C612">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FC3537F">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13B2817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8E51BD0">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76794B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7BEA632">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3B7677EC">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5681E42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B68B26A">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AB9FE16">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32372146">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4818D26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35F84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A9AF4F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80887A4">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7A7841DA">
            <w:pPr>
              <w:spacing w:line="360" w:lineRule="auto"/>
              <w:jc w:val="left"/>
              <w:rPr>
                <w:rFonts w:ascii="宋体" w:hAnsi="宋体" w:eastAsia="宋体"/>
                <w:sz w:val="22"/>
              </w:rPr>
            </w:pPr>
          </w:p>
        </w:tc>
      </w:tr>
      <w:tr w14:paraId="7F3C2B3E">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BA540F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1B3A7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EE4B700">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7A931569">
            <w:pPr>
              <w:spacing w:line="360" w:lineRule="auto"/>
              <w:jc w:val="left"/>
              <w:rPr>
                <w:rFonts w:ascii="宋体" w:hAnsi="宋体" w:eastAsia="宋体"/>
                <w:sz w:val="22"/>
              </w:rPr>
            </w:pPr>
          </w:p>
        </w:tc>
      </w:tr>
      <w:tr w14:paraId="20C0AB98">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4734338D">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06151DF8">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4468C26">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02719E34">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3AF040F">
            <w:pPr>
              <w:spacing w:line="360" w:lineRule="auto"/>
              <w:rPr>
                <w:rFonts w:ascii="宋体" w:hAnsi="宋体" w:eastAsia="宋体"/>
                <w:sz w:val="22"/>
              </w:rPr>
            </w:pPr>
          </w:p>
        </w:tc>
      </w:tr>
      <w:tr w14:paraId="4ED78EAD">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5985E7D1">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F10467A">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40654CE6">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8685F83">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64F02D3">
            <w:pPr>
              <w:spacing w:line="360" w:lineRule="auto"/>
              <w:jc w:val="center"/>
              <w:rPr>
                <w:rFonts w:hint="default" w:ascii="宋体" w:hAnsi="宋体" w:eastAsia="宋体"/>
                <w:sz w:val="22"/>
                <w:lang w:val="en-US" w:eastAsia="zh-CN"/>
              </w:rPr>
            </w:pPr>
          </w:p>
        </w:tc>
      </w:tr>
    </w:tbl>
    <w:p w14:paraId="6EA484DC">
      <w:pPr>
        <w:spacing w:line="570" w:lineRule="exact"/>
        <w:jc w:val="center"/>
        <w:rPr>
          <w:rFonts w:hint="eastAsia" w:ascii="方正小标宋简体" w:hAnsi="方正小标宋简体" w:eastAsia="方正小标宋简体" w:cs="方正小标宋简体"/>
          <w:b/>
          <w:bCs/>
          <w:sz w:val="36"/>
          <w:szCs w:val="36"/>
          <w:u w:val="single"/>
        </w:rPr>
      </w:pPr>
    </w:p>
    <w:p w14:paraId="116CDDBA">
      <w:pPr>
        <w:spacing w:line="570" w:lineRule="exact"/>
        <w:jc w:val="center"/>
        <w:rPr>
          <w:rFonts w:hint="eastAsia" w:ascii="方正小标宋简体" w:hAnsi="方正小标宋简体" w:eastAsia="方正小标宋简体" w:cs="方正小标宋简体"/>
          <w:b/>
          <w:bCs/>
          <w:sz w:val="36"/>
          <w:szCs w:val="36"/>
          <w:u w:val="single"/>
        </w:rPr>
      </w:pPr>
    </w:p>
    <w:p w14:paraId="28A2DEE1">
      <w:pPr>
        <w:spacing w:line="570" w:lineRule="exact"/>
        <w:jc w:val="center"/>
        <w:rPr>
          <w:rFonts w:hint="eastAsia" w:ascii="方正小标宋简体" w:hAnsi="方正小标宋简体" w:eastAsia="方正小标宋简体" w:cs="方正小标宋简体"/>
          <w:b/>
          <w:bCs/>
          <w:sz w:val="36"/>
          <w:szCs w:val="36"/>
          <w:u w:val="single"/>
        </w:rPr>
      </w:pPr>
    </w:p>
    <w:p w14:paraId="610F3946">
      <w:pPr>
        <w:spacing w:line="570" w:lineRule="exact"/>
        <w:jc w:val="center"/>
        <w:rPr>
          <w:rFonts w:hint="eastAsia" w:ascii="方正小标宋_GBK" w:hAnsi="方正小标宋_GBK" w:eastAsia="方正小标宋_GBK" w:cs="方正小标宋_GBK"/>
          <w:b/>
          <w:bCs/>
          <w:sz w:val="36"/>
          <w:szCs w:val="36"/>
        </w:rPr>
      </w:pPr>
      <w:r>
        <w:rPr>
          <w:rFonts w:hint="eastAsia" w:ascii="方正小标宋_GBK" w:hAnsi="方正小标宋_GBK" w:eastAsia="方正小标宋_GBK" w:cs="方正小标宋_GBK"/>
          <w:b/>
          <w:bCs/>
          <w:color w:val="C00000"/>
          <w:sz w:val="36"/>
          <w:szCs w:val="36"/>
          <w:lang w:val="en-US" w:eastAsia="zh-CN"/>
        </w:rPr>
        <w:t>昌江县石碌镇红棉西路和悦小区1-114商铺189.33m²出租</w:t>
      </w:r>
      <w:r>
        <w:rPr>
          <w:rFonts w:hint="eastAsia" w:ascii="方正小标宋_GBK" w:hAnsi="方正小标宋_GBK" w:eastAsia="方正小标宋_GBK" w:cs="方正小标宋_GBK"/>
          <w:b/>
          <w:bCs/>
          <w:sz w:val="36"/>
          <w:szCs w:val="36"/>
          <w:lang w:val="en-US" w:eastAsia="zh-CN"/>
        </w:rPr>
        <w:t>交易</w:t>
      </w:r>
      <w:r>
        <w:rPr>
          <w:rFonts w:hint="eastAsia" w:ascii="方正小标宋_GBK" w:hAnsi="方正小标宋_GBK" w:eastAsia="方正小标宋_GBK" w:cs="方正小标宋_GBK"/>
          <w:b/>
          <w:bCs/>
          <w:sz w:val="36"/>
          <w:szCs w:val="36"/>
        </w:rPr>
        <w:t>公示</w:t>
      </w:r>
    </w:p>
    <w:p w14:paraId="7519081A">
      <w:pPr>
        <w:keepNext w:val="0"/>
        <w:keepLines w:val="0"/>
        <w:pageBreakBefore w:val="0"/>
        <w:widowControl w:val="0"/>
        <w:shd w:val="clear" w:color="auto" w:fill="auto"/>
        <w:kinsoku/>
        <w:wordWrap w:val="0"/>
        <w:overflowPunct/>
        <w:topLinePunct w:val="0"/>
        <w:autoSpaceDE/>
        <w:autoSpaceDN/>
        <w:bidi w:val="0"/>
        <w:adjustRightInd/>
        <w:snapToGrid/>
        <w:spacing w:line="240" w:lineRule="auto"/>
        <w:jc w:val="left"/>
        <w:textAlignment w:val="auto"/>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经</w:t>
      </w:r>
      <w:r>
        <w:rPr>
          <w:rFonts w:hint="eastAsia" w:asciiTheme="minorEastAsia" w:hAnsiTheme="minorEastAsia" w:cstheme="minorEastAsia"/>
          <w:color w:val="C00000"/>
          <w:sz w:val="32"/>
          <w:szCs w:val="32"/>
          <w:lang w:val="en-US" w:eastAsia="zh-CN"/>
        </w:rPr>
        <w:t>海南清洁能源高新技术产业园开发投资集团有限公司</w:t>
      </w:r>
      <w:r>
        <w:rPr>
          <w:rFonts w:hint="eastAsia" w:asciiTheme="minorEastAsia" w:hAnsiTheme="minorEastAsia" w:eastAsiaTheme="minorEastAsia" w:cstheme="minorEastAsia"/>
          <w:sz w:val="32"/>
          <w:szCs w:val="32"/>
        </w:rPr>
        <w:t>召开的会议决议，同意</w:t>
      </w:r>
      <w:r>
        <w:rPr>
          <w:rFonts w:hint="eastAsia" w:asciiTheme="minorEastAsia" w:hAnsiTheme="minorEastAsia" w:cstheme="minorEastAsia"/>
          <w:sz w:val="32"/>
          <w:szCs w:val="32"/>
          <w:lang w:val="en-US" w:eastAsia="zh-CN"/>
        </w:rPr>
        <w:t xml:space="preserve"> </w:t>
      </w:r>
      <w:r>
        <w:rPr>
          <w:rFonts w:hint="eastAsia" w:ascii="新宋体" w:hAnsi="新宋体" w:eastAsia="新宋体"/>
          <w:b/>
          <w:bCs/>
          <w:color w:val="C00000"/>
          <w:sz w:val="28"/>
          <w:szCs w:val="28"/>
          <w:u w:val="single"/>
        </w:rPr>
        <w:t>昌江县石碌镇红棉西路和悦小区1-114商铺189.33m</w:t>
      </w:r>
      <w:r>
        <w:rPr>
          <w:rFonts w:hint="eastAsia" w:ascii="新宋体" w:hAnsi="新宋体" w:eastAsia="新宋体"/>
          <w:b/>
          <w:bCs/>
          <w:color w:val="C00000"/>
          <w:sz w:val="28"/>
          <w:szCs w:val="28"/>
          <w:u w:val="single"/>
          <w:lang w:val="en-US" w:eastAsia="zh-CN"/>
        </w:rPr>
        <w:t>²</w:t>
      </w:r>
      <w:r>
        <w:rPr>
          <w:rFonts w:hint="eastAsia" w:ascii="新宋体" w:hAnsi="新宋体" w:eastAsia="新宋体"/>
          <w:b/>
          <w:bCs/>
          <w:color w:val="C00000"/>
          <w:sz w:val="28"/>
          <w:szCs w:val="28"/>
          <w:u w:val="single"/>
        </w:rPr>
        <w:t>出租</w:t>
      </w:r>
      <w:r>
        <w:rPr>
          <w:rFonts w:hint="eastAsia" w:asciiTheme="minorEastAsia" w:hAnsiTheme="minorEastAsia" w:eastAsiaTheme="minorEastAsia" w:cstheme="minorEastAsia"/>
          <w:sz w:val="32"/>
          <w:szCs w:val="32"/>
        </w:rPr>
        <w:t>在</w:t>
      </w:r>
      <w:r>
        <w:rPr>
          <w:rFonts w:hint="eastAsia" w:asciiTheme="minorEastAsia" w:hAnsiTheme="minorEastAsia" w:cstheme="minorEastAsia"/>
          <w:sz w:val="32"/>
          <w:szCs w:val="32"/>
          <w:lang w:val="en-US" w:eastAsia="zh-CN"/>
        </w:rPr>
        <w:t>昌江农村产权交易中心(以下简称“农交中心”)网站</w:t>
      </w:r>
      <w:r>
        <w:rPr>
          <w:rFonts w:hint="eastAsia" w:asciiTheme="minorEastAsia" w:hAnsiTheme="minorEastAsia" w:eastAsiaTheme="minorEastAsia" w:cstheme="minorEastAsia"/>
          <w:sz w:val="32"/>
          <w:szCs w:val="32"/>
        </w:rPr>
        <w:t>（https://</w:t>
      </w:r>
      <w:r>
        <w:rPr>
          <w:rFonts w:hint="eastAsia" w:asciiTheme="minorEastAsia" w:hAnsiTheme="minorEastAsia" w:cstheme="minorEastAsia"/>
          <w:sz w:val="32"/>
          <w:szCs w:val="32"/>
          <w:lang w:val="en-US" w:eastAsia="zh-CN"/>
        </w:rPr>
        <w:t>changjiang</w:t>
      </w:r>
      <w:r>
        <w:rPr>
          <w:rFonts w:hint="eastAsia" w:asciiTheme="minorEastAsia" w:hAnsiTheme="minorEastAsia" w:eastAsiaTheme="minorEastAsia" w:cstheme="minorEastAsia"/>
          <w:sz w:val="32"/>
          <w:szCs w:val="32"/>
        </w:rPr>
        <w:t>.nongjiao.com）进行</w:t>
      </w:r>
      <w:r>
        <w:rPr>
          <w:rFonts w:hint="eastAsia" w:asciiTheme="minorEastAsia" w:hAnsiTheme="minorEastAsia" w:cstheme="minorEastAsia"/>
          <w:sz w:val="32"/>
          <w:szCs w:val="32"/>
          <w:lang w:eastAsia="zh-CN"/>
        </w:rPr>
        <w:t>出租</w:t>
      </w:r>
      <w:r>
        <w:rPr>
          <w:rFonts w:hint="eastAsia" w:asciiTheme="minorEastAsia" w:hAnsiTheme="minorEastAsia" w:eastAsiaTheme="minorEastAsia" w:cstheme="minorEastAsia"/>
          <w:sz w:val="32"/>
          <w:szCs w:val="32"/>
        </w:rPr>
        <w:t>交易，依据《海南</w:t>
      </w:r>
      <w:r>
        <w:rPr>
          <w:rFonts w:hint="eastAsia" w:asciiTheme="minorEastAsia" w:hAnsiTheme="minorEastAsia" w:cstheme="minorEastAsia"/>
          <w:sz w:val="32"/>
          <w:szCs w:val="32"/>
          <w:lang w:val="en-US" w:eastAsia="zh-CN"/>
        </w:rPr>
        <w:t>省</w:t>
      </w:r>
      <w:r>
        <w:rPr>
          <w:rFonts w:hint="eastAsia" w:asciiTheme="minorEastAsia" w:hAnsiTheme="minorEastAsia" w:eastAsiaTheme="minorEastAsia" w:cstheme="minorEastAsia"/>
          <w:sz w:val="32"/>
          <w:szCs w:val="32"/>
        </w:rPr>
        <w:t>农村产权流转交易管理暂行办法》规定在</w:t>
      </w:r>
      <w:r>
        <w:rPr>
          <w:rFonts w:hint="eastAsia" w:asciiTheme="minorEastAsia" w:hAnsiTheme="minorEastAsia" w:cstheme="minorEastAsia"/>
          <w:sz w:val="32"/>
          <w:szCs w:val="32"/>
          <w:lang w:eastAsia="zh-CN"/>
        </w:rPr>
        <w:t>农交中心</w:t>
      </w:r>
      <w:r>
        <w:rPr>
          <w:rFonts w:hint="eastAsia" w:asciiTheme="minorEastAsia" w:hAnsiTheme="minorEastAsia" w:eastAsiaTheme="minorEastAsia" w:cstheme="minorEastAsia"/>
          <w:sz w:val="32"/>
          <w:szCs w:val="32"/>
        </w:rPr>
        <w:t>挂牌交易，现将公示如下：</w:t>
      </w:r>
    </w:p>
    <w:p w14:paraId="312B4B5F">
      <w:pPr>
        <w:numPr>
          <w:ilvl w:val="0"/>
          <w:numId w:val="3"/>
        </w:numPr>
        <w:spacing w:line="52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51C52CF7">
      <w:pPr>
        <w:spacing w:line="520" w:lineRule="exact"/>
        <w:ind w:firstLine="560" w:firstLineChars="200"/>
        <w:rPr>
          <w:rFonts w:hint="eastAsia" w:asciiTheme="minorEastAsia" w:hAnsiTheme="minorEastAsia" w:cstheme="minorEastAsia"/>
          <w:color w:val="C00000"/>
          <w:sz w:val="36"/>
          <w:szCs w:val="36"/>
          <w:u w:val="none"/>
          <w:lang w:eastAsia="zh-CN"/>
        </w:rPr>
      </w:pPr>
      <w:r>
        <w:rPr>
          <w:rFonts w:hint="eastAsia" w:asciiTheme="minorEastAsia" w:hAnsiTheme="minorEastAsia" w:eastAsiaTheme="minorEastAsia" w:cstheme="minorEastAsia"/>
          <w:sz w:val="28"/>
          <w:szCs w:val="28"/>
        </w:rPr>
        <w:t>标的名称：</w:t>
      </w:r>
      <w:r>
        <w:rPr>
          <w:rFonts w:hint="eastAsia" w:ascii="新宋体" w:hAnsi="新宋体" w:eastAsia="新宋体"/>
          <w:b/>
          <w:bCs/>
          <w:color w:val="C00000"/>
          <w:sz w:val="32"/>
          <w:szCs w:val="32"/>
          <w:u w:val="none"/>
        </w:rPr>
        <w:t>昌江县石碌镇红棉西路和悦小区1-114商铺189.33m</w:t>
      </w:r>
      <w:r>
        <w:rPr>
          <w:rFonts w:hint="eastAsia" w:ascii="新宋体" w:hAnsi="新宋体" w:eastAsia="新宋体"/>
          <w:b/>
          <w:bCs/>
          <w:color w:val="C00000"/>
          <w:sz w:val="32"/>
          <w:szCs w:val="32"/>
          <w:u w:val="none"/>
          <w:lang w:val="en-US" w:eastAsia="zh-CN"/>
        </w:rPr>
        <w:t>²</w:t>
      </w:r>
      <w:r>
        <w:rPr>
          <w:rFonts w:hint="eastAsia" w:ascii="新宋体" w:hAnsi="新宋体" w:eastAsia="新宋体"/>
          <w:b/>
          <w:bCs/>
          <w:color w:val="C00000"/>
          <w:sz w:val="32"/>
          <w:szCs w:val="32"/>
          <w:u w:val="none"/>
        </w:rPr>
        <w:t>出租</w:t>
      </w:r>
    </w:p>
    <w:tbl>
      <w:tblPr>
        <w:tblStyle w:val="1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11F32D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168B9AF">
            <w:pPr>
              <w:spacing w:line="240" w:lineRule="auto"/>
              <w:rPr>
                <w:rFonts w:hint="eastAsia" w:asciiTheme="minorEastAsia" w:hAnsiTheme="minorEastAsia" w:cstheme="minorEastAsia"/>
                <w:color w:val="C00000"/>
                <w:sz w:val="28"/>
                <w:szCs w:val="28"/>
                <w:vertAlign w:val="baseline"/>
                <w:lang w:eastAsia="zh-CN"/>
              </w:rPr>
            </w:pPr>
            <w:r>
              <w:rPr>
                <w:rFonts w:hint="eastAsia" w:ascii="新宋体" w:hAnsi="新宋体" w:eastAsia="新宋体"/>
                <w:b/>
                <w:bCs/>
                <w:color w:val="C00000"/>
                <w:sz w:val="28"/>
                <w:szCs w:val="28"/>
                <w:u w:val="none"/>
              </w:rPr>
              <w:t>昌江县石碌镇红棉西路和悦小区1-114商铺189.33m</w:t>
            </w:r>
            <w:r>
              <w:rPr>
                <w:rFonts w:hint="eastAsia" w:ascii="新宋体" w:hAnsi="新宋体" w:eastAsia="新宋体"/>
                <w:b/>
                <w:bCs/>
                <w:color w:val="C00000"/>
                <w:sz w:val="28"/>
                <w:szCs w:val="28"/>
                <w:u w:val="none"/>
                <w:lang w:val="en-US" w:eastAsia="zh-CN"/>
              </w:rPr>
              <w:t>²</w:t>
            </w:r>
            <w:r>
              <w:rPr>
                <w:rFonts w:hint="eastAsia" w:ascii="新宋体" w:hAnsi="新宋体" w:eastAsia="新宋体"/>
                <w:b/>
                <w:bCs/>
                <w:color w:val="C00000"/>
                <w:sz w:val="28"/>
                <w:szCs w:val="28"/>
                <w:u w:val="none"/>
              </w:rPr>
              <w:t>出租</w:t>
            </w:r>
          </w:p>
        </w:tc>
        <w:tc>
          <w:tcPr>
            <w:tcW w:w="2841" w:type="dxa"/>
            <w:vAlign w:val="top"/>
          </w:tcPr>
          <w:p w14:paraId="3EFB71F9">
            <w:pPr>
              <w:spacing w:line="240" w:lineRule="auto"/>
              <w:jc w:val="center"/>
              <w:rPr>
                <w:rFonts w:hint="eastAsia" w:asciiTheme="minorEastAsia" w:hAnsiTheme="minorEastAsia" w:cstheme="minorEastAsia"/>
                <w:color w:val="C00000"/>
                <w:sz w:val="28"/>
                <w:szCs w:val="28"/>
                <w:vertAlign w:val="baseline"/>
                <w:lang w:eastAsia="zh-CN"/>
              </w:rPr>
            </w:pPr>
          </w:p>
          <w:p w14:paraId="302BF194">
            <w:pPr>
              <w:spacing w:line="240" w:lineRule="auto"/>
              <w:jc w:val="center"/>
              <w:rPr>
                <w:rFonts w:hint="default" w:asciiTheme="minorEastAsia" w:hAnsiTheme="minorEastAsia" w:cstheme="minorEastAsia"/>
                <w:color w:val="C00000"/>
                <w:sz w:val="28"/>
                <w:szCs w:val="28"/>
                <w:vertAlign w:val="baseline"/>
                <w:lang w:val="en-US" w:eastAsia="zh-CN"/>
              </w:rPr>
            </w:pPr>
            <w:r>
              <w:rPr>
                <w:rFonts w:hint="eastAsia" w:asciiTheme="minorEastAsia" w:hAnsiTheme="minorEastAsia" w:cstheme="minorEastAsia"/>
                <w:color w:val="000000" w:themeColor="text1"/>
                <w:sz w:val="30"/>
                <w:szCs w:val="30"/>
                <w:vertAlign w:val="baseline"/>
                <w:lang w:val="en-US" w:eastAsia="zh-CN"/>
                <w14:textFill>
                  <w14:solidFill>
                    <w14:schemeClr w14:val="tx1"/>
                  </w14:solidFill>
                </w14:textFill>
              </w:rPr>
              <w:t>3年</w:t>
            </w:r>
          </w:p>
        </w:tc>
        <w:tc>
          <w:tcPr>
            <w:tcW w:w="2841" w:type="dxa"/>
            <w:vAlign w:val="top"/>
          </w:tcPr>
          <w:p w14:paraId="6D4EC1EB">
            <w:pPr>
              <w:spacing w:line="240" w:lineRule="auto"/>
              <w:jc w:val="center"/>
              <w:rPr>
                <w:rFonts w:hint="eastAsia" w:asciiTheme="minorEastAsia" w:hAnsiTheme="minorEastAsia" w:cstheme="minorEastAsia"/>
                <w:color w:val="C00000"/>
                <w:sz w:val="28"/>
                <w:szCs w:val="28"/>
                <w:vertAlign w:val="baseline"/>
                <w:lang w:eastAsia="zh-CN"/>
              </w:rPr>
            </w:pPr>
          </w:p>
          <w:p w14:paraId="3737B3E3">
            <w:pPr>
              <w:spacing w:line="240" w:lineRule="auto"/>
              <w:jc w:val="center"/>
              <w:rPr>
                <w:rFonts w:hint="eastAsia" w:asciiTheme="minorEastAsia" w:hAnsiTheme="minorEastAsia" w:cstheme="minorEastAsia"/>
                <w:color w:val="C00000"/>
                <w:sz w:val="28"/>
                <w:szCs w:val="28"/>
                <w:vertAlign w:val="baseline"/>
                <w:lang w:eastAsia="zh-CN"/>
              </w:rPr>
            </w:pPr>
            <w:r>
              <w:rPr>
                <w:rFonts w:hint="eastAsia" w:ascii="新宋体" w:hAnsi="新宋体" w:eastAsia="新宋体" w:cs="Times New Roman"/>
                <w:b w:val="0"/>
                <w:bCs w:val="0"/>
                <w:sz w:val="30"/>
                <w:szCs w:val="30"/>
                <w:vertAlign w:val="baseline"/>
                <w:lang w:val="en-US" w:eastAsia="zh-CN"/>
              </w:rPr>
              <w:t>41667.72</w:t>
            </w:r>
            <w:r>
              <w:rPr>
                <w:rFonts w:hint="default" w:ascii="新宋体" w:hAnsi="新宋体" w:eastAsia="新宋体" w:cs="Times New Roman"/>
                <w:b w:val="0"/>
                <w:bCs w:val="0"/>
                <w:sz w:val="30"/>
                <w:szCs w:val="30"/>
                <w:vertAlign w:val="baseline"/>
                <w:lang w:val="en-US" w:eastAsia="zh-CN"/>
              </w:rPr>
              <w:t>元/年</w:t>
            </w:r>
          </w:p>
        </w:tc>
      </w:tr>
    </w:tbl>
    <w:p w14:paraId="26BE53C7">
      <w:pPr>
        <w:spacing w:line="240" w:lineRule="auto"/>
        <w:ind w:firstLine="560" w:firstLineChars="200"/>
        <w:rPr>
          <w:rFonts w:hint="eastAsia" w:asciiTheme="minorEastAsia" w:hAnsiTheme="minorEastAsia" w:cstheme="minorEastAsia"/>
          <w:color w:val="C00000"/>
          <w:sz w:val="28"/>
          <w:szCs w:val="28"/>
          <w:lang w:eastAsia="zh-CN"/>
        </w:rPr>
      </w:pPr>
    </w:p>
    <w:p w14:paraId="13FE15B0">
      <w:pPr>
        <w:spacing w:line="520" w:lineRule="exact"/>
        <w:ind w:firstLine="560" w:firstLineChars="200"/>
        <w:rPr>
          <w:rFonts w:hint="eastAsia" w:ascii="Segoe UI" w:hAnsi="Segoe UI" w:eastAsia="宋体" w:cs="Segoe UI"/>
          <w:i w:val="0"/>
          <w:iCs w:val="0"/>
          <w:caps w:val="0"/>
          <w:color w:val="000000"/>
          <w:spacing w:val="0"/>
          <w:sz w:val="28"/>
          <w:szCs w:val="28"/>
          <w:lang w:eastAsia="zh-CN"/>
        </w:rPr>
      </w:pPr>
      <w:r>
        <w:rPr>
          <w:rFonts w:hint="eastAsia" w:asciiTheme="minorEastAsia" w:hAnsiTheme="minorEastAsia" w:eastAsiaTheme="minorEastAsia" w:cstheme="minorEastAsia"/>
          <w:sz w:val="28"/>
          <w:szCs w:val="28"/>
        </w:rPr>
        <w:t>付款方式：</w:t>
      </w:r>
      <w:r>
        <w:rPr>
          <w:rFonts w:ascii="Segoe UI" w:hAnsi="Segoe UI" w:eastAsia="Segoe UI" w:cs="Segoe UI"/>
          <w:i w:val="0"/>
          <w:iCs w:val="0"/>
          <w:caps w:val="0"/>
          <w:color w:val="000000"/>
          <w:spacing w:val="0"/>
          <w:sz w:val="28"/>
          <w:szCs w:val="28"/>
        </w:rPr>
        <w:t>须缴纳租赁押金为三个月租金</w:t>
      </w:r>
      <w:r>
        <w:rPr>
          <w:rFonts w:hint="eastAsia" w:ascii="Segoe UI" w:hAnsi="Segoe UI" w:eastAsia="宋体" w:cs="Segoe UI"/>
          <w:i w:val="0"/>
          <w:iCs w:val="0"/>
          <w:caps w:val="0"/>
          <w:color w:val="000000"/>
          <w:spacing w:val="0"/>
          <w:sz w:val="28"/>
          <w:szCs w:val="28"/>
          <w:lang w:eastAsia="zh-CN"/>
        </w:rPr>
        <w:t>；</w:t>
      </w:r>
      <w:r>
        <w:rPr>
          <w:rFonts w:ascii="Segoe UI" w:hAnsi="Segoe UI" w:eastAsia="Segoe UI" w:cs="Segoe UI"/>
          <w:i w:val="0"/>
          <w:iCs w:val="0"/>
          <w:caps w:val="0"/>
          <w:color w:val="000000"/>
          <w:spacing w:val="0"/>
          <w:sz w:val="28"/>
          <w:szCs w:val="28"/>
        </w:rPr>
        <w:t>租金每三个月支付一次，先支付租金后使用。</w:t>
      </w:r>
      <w:r>
        <w:rPr>
          <w:rFonts w:hint="eastAsia" w:ascii="Segoe UI" w:hAnsi="Segoe UI" w:eastAsia="Segoe UI" w:cs="Segoe UI"/>
          <w:i w:val="0"/>
          <w:iCs w:val="0"/>
          <w:caps w:val="0"/>
          <w:color w:val="000000"/>
          <w:spacing w:val="0"/>
          <w:sz w:val="28"/>
          <w:szCs w:val="28"/>
        </w:rPr>
        <w:t>租赁期限为3年，租金自第2年起，在上年度基础上逐年递增1%</w:t>
      </w:r>
      <w:r>
        <w:rPr>
          <w:rFonts w:hint="eastAsia" w:ascii="Segoe UI" w:hAnsi="Segoe UI" w:eastAsia="宋体" w:cs="Segoe UI"/>
          <w:i w:val="0"/>
          <w:iCs w:val="0"/>
          <w:caps w:val="0"/>
          <w:color w:val="000000"/>
          <w:spacing w:val="0"/>
          <w:sz w:val="28"/>
          <w:szCs w:val="28"/>
          <w:lang w:eastAsia="zh-CN"/>
        </w:rPr>
        <w:t>，</w:t>
      </w:r>
      <w:r>
        <w:rPr>
          <w:rFonts w:hint="default" w:ascii="Segoe UI" w:hAnsi="Segoe UI" w:eastAsia="Segoe UI" w:cs="Segoe UI"/>
          <w:i w:val="0"/>
          <w:iCs w:val="0"/>
          <w:caps w:val="0"/>
          <w:color w:val="000000"/>
          <w:spacing w:val="0"/>
          <w:sz w:val="28"/>
          <w:szCs w:val="28"/>
        </w:rPr>
        <w:t>第一次支付时间为免租期满</w:t>
      </w:r>
      <w:r>
        <w:rPr>
          <w:rFonts w:hint="eastAsia" w:ascii="Segoe UI" w:hAnsi="Segoe UI" w:eastAsia="宋体" w:cs="Segoe UI"/>
          <w:i w:val="0"/>
          <w:iCs w:val="0"/>
          <w:caps w:val="0"/>
          <w:color w:val="000000"/>
          <w:spacing w:val="0"/>
          <w:sz w:val="28"/>
          <w:szCs w:val="28"/>
          <w:lang w:val="en-US" w:eastAsia="zh-CN"/>
        </w:rPr>
        <w:t>前</w:t>
      </w:r>
      <w:r>
        <w:rPr>
          <w:rFonts w:hint="default" w:ascii="Segoe UI" w:hAnsi="Segoe UI" w:eastAsia="Segoe UI" w:cs="Segoe UI"/>
          <w:i w:val="0"/>
          <w:iCs w:val="0"/>
          <w:caps w:val="0"/>
          <w:color w:val="000000"/>
          <w:spacing w:val="0"/>
          <w:sz w:val="28"/>
          <w:szCs w:val="28"/>
        </w:rPr>
        <w:t>5个工作日内缴纳</w:t>
      </w:r>
      <w:r>
        <w:rPr>
          <w:rFonts w:hint="eastAsia" w:ascii="Segoe UI" w:hAnsi="Segoe UI" w:eastAsia="宋体" w:cs="Segoe UI"/>
          <w:i w:val="0"/>
          <w:iCs w:val="0"/>
          <w:caps w:val="0"/>
          <w:color w:val="000000"/>
          <w:spacing w:val="0"/>
          <w:sz w:val="28"/>
          <w:szCs w:val="28"/>
          <w:lang w:eastAsia="zh-CN"/>
        </w:rPr>
        <w:t>。</w:t>
      </w:r>
      <w:bookmarkStart w:id="35" w:name="_GoBack"/>
      <w:bookmarkEnd w:id="35"/>
    </w:p>
    <w:p w14:paraId="7934A578">
      <w:pPr>
        <w:spacing w:line="520" w:lineRule="exact"/>
        <w:ind w:firstLine="560" w:firstLineChars="200"/>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ascii="Segoe UI" w:hAnsi="Segoe UI" w:eastAsia="Segoe UI" w:cs="Segoe UI"/>
          <w:i w:val="0"/>
          <w:iCs w:val="0"/>
          <w:caps w:val="0"/>
          <w:color w:val="000000"/>
          <w:spacing w:val="0"/>
          <w:sz w:val="28"/>
          <w:szCs w:val="28"/>
        </w:rPr>
        <w:t>18389235555</w:t>
      </w:r>
    </w:p>
    <w:p w14:paraId="4EF0CF80">
      <w:pPr>
        <w:spacing w:line="520" w:lineRule="exact"/>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09C79DD6">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流转交易。</w:t>
      </w:r>
    </w:p>
    <w:p w14:paraId="0CC0B6B4">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sz w:val="28"/>
          <w:szCs w:val="28"/>
          <w:lang w:val="en-US" w:eastAsia="zh-CN"/>
        </w:rPr>
        <w:t>12345</w:t>
      </w:r>
    </w:p>
    <w:p w14:paraId="69C6789A">
      <w:pPr>
        <w:spacing w:line="520" w:lineRule="exact"/>
        <w:ind w:firstLine="560" w:firstLineChars="2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昌江黎族自治县石碌镇人民北路239号</w:t>
      </w:r>
    </w:p>
    <w:p w14:paraId="296977A8">
      <w:pPr>
        <w:spacing w:line="520" w:lineRule="exact"/>
        <w:ind w:firstLine="560"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项目在</w:t>
      </w:r>
      <w:r>
        <w:rPr>
          <w:rFonts w:hint="eastAsia" w:asciiTheme="minorEastAsia" w:hAnsiTheme="minorEastAsia" w:cstheme="minorEastAsia"/>
          <w:sz w:val="28"/>
          <w:szCs w:val="28"/>
          <w:lang w:eastAsia="zh-CN"/>
        </w:rPr>
        <w:t>农交中心</w:t>
      </w:r>
      <w:r>
        <w:rPr>
          <w:rFonts w:hint="eastAsia" w:asciiTheme="minorEastAsia" w:hAnsiTheme="minorEastAsia" w:eastAsiaTheme="minorEastAsia" w:cstheme="minorEastAsia"/>
          <w:sz w:val="28"/>
          <w:szCs w:val="28"/>
        </w:rPr>
        <w:t xml:space="preserve">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sz w:val="28"/>
          <w:szCs w:val="28"/>
          <w:lang w:val="en-US" w:eastAsia="zh-CN"/>
        </w:rPr>
        <w:t>changjiang</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w:t>
      </w:r>
      <w:r>
        <w:rPr>
          <w:rFonts w:hint="eastAsia" w:asciiTheme="minorEastAsia" w:hAnsiTheme="minorEastAsia" w:cstheme="minorEastAsia"/>
          <w:sz w:val="28"/>
          <w:szCs w:val="28"/>
          <w:lang w:val="en-US" w:eastAsia="zh-CN"/>
        </w:rPr>
        <w:t>公众号</w:t>
      </w:r>
      <w:r>
        <w:rPr>
          <w:rFonts w:hint="eastAsia" w:asciiTheme="minorEastAsia" w:hAnsiTheme="minorEastAsia" w:eastAsiaTheme="minorEastAsia" w:cstheme="minorEastAsia"/>
          <w:sz w:val="28"/>
          <w:szCs w:val="28"/>
        </w:rPr>
        <w:t>。</w:t>
      </w:r>
    </w:p>
    <w:p w14:paraId="4F27A6D7">
      <w:pPr>
        <w:spacing w:line="570" w:lineRule="exact"/>
        <w:jc w:val="both"/>
        <w:rPr>
          <w:rFonts w:ascii="宋体" w:hAnsi="宋体" w:eastAsia="宋体" w:cs="宋体"/>
          <w:sz w:val="28"/>
          <w:szCs w:val="28"/>
          <w:u w:val="single"/>
        </w:rPr>
      </w:pPr>
      <w:r>
        <w:drawing>
          <wp:anchor distT="0" distB="0" distL="114300" distR="114300" simplePos="0" relativeHeight="251662336" behindDoc="1" locked="0" layoutInCell="1" allowOverlap="1">
            <wp:simplePos x="0" y="0"/>
            <wp:positionH relativeFrom="column">
              <wp:posOffset>-283845</wp:posOffset>
            </wp:positionH>
            <wp:positionV relativeFrom="paragraph">
              <wp:posOffset>273685</wp:posOffset>
            </wp:positionV>
            <wp:extent cx="1334135" cy="1320165"/>
            <wp:effectExtent l="0" t="0" r="18415" b="13335"/>
            <wp:wrapTight wrapText="bothSides">
              <wp:wrapPolygon>
                <wp:start x="0" y="0"/>
                <wp:lineTo x="0" y="21195"/>
                <wp:lineTo x="21281" y="21195"/>
                <wp:lineTo x="21281" y="0"/>
                <wp:lineTo x="0" y="0"/>
              </wp:wrapPolygon>
            </wp:wrapTight>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1334135" cy="1320165"/>
                    </a:xfrm>
                    <a:prstGeom prst="rect">
                      <a:avLst/>
                    </a:prstGeom>
                    <a:noFill/>
                    <a:ln>
                      <a:noFill/>
                    </a:ln>
                  </pic:spPr>
                </pic:pic>
              </a:graphicData>
            </a:graphic>
          </wp:anchor>
        </w:drawing>
      </w:r>
    </w:p>
    <w:p w14:paraId="5F35A458">
      <w:pPr>
        <w:spacing w:line="570" w:lineRule="exact"/>
        <w:jc w:val="both"/>
        <w:rPr>
          <w:rFonts w:hint="eastAsia" w:ascii="宋体" w:hAnsi="宋体" w:eastAsia="宋体" w:cs="宋体"/>
          <w:sz w:val="28"/>
          <w:szCs w:val="28"/>
          <w:u w:val="single"/>
          <w:lang w:eastAsia="zh-CN"/>
        </w:rPr>
      </w:pPr>
    </w:p>
    <w:p w14:paraId="4D04BE9E">
      <w:pPr>
        <w:spacing w:line="570" w:lineRule="exact"/>
        <w:jc w:val="both"/>
        <w:rPr>
          <w:rFonts w:ascii="宋体" w:hAnsi="宋体" w:eastAsia="宋体" w:cs="宋体"/>
          <w:sz w:val="28"/>
          <w:szCs w:val="28"/>
          <w:u w:val="single"/>
        </w:rPr>
      </w:pPr>
    </w:p>
    <w:p w14:paraId="5889A223">
      <w:pPr>
        <w:pStyle w:val="6"/>
        <w:jc w:val="right"/>
        <w:rPr>
          <w:b/>
          <w:bCs/>
          <w:sz w:val="28"/>
          <w:szCs w:val="36"/>
        </w:rPr>
      </w:pPr>
      <w:r>
        <w:rPr>
          <w:rFonts w:hint="eastAsia"/>
          <w:b/>
          <w:bCs/>
          <w:sz w:val="28"/>
          <w:szCs w:val="36"/>
        </w:rPr>
        <w:t>已详细阅读此交易公示，对此交易公示内容无异议。</w:t>
      </w:r>
    </w:p>
    <w:p w14:paraId="155DFBDB">
      <w:pPr>
        <w:pStyle w:val="6"/>
        <w:wordWrap w:val="0"/>
        <w:ind w:firstLine="3654" w:firstLineChars="1300"/>
        <w:jc w:val="center"/>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3E84083E">
      <w:r>
        <w:rPr>
          <w:rFonts w:hint="eastAsia"/>
          <w:b/>
          <w:bCs/>
          <w:sz w:val="28"/>
          <w:szCs w:val="36"/>
        </w:rPr>
        <w:t xml:space="preserve">                                </w:t>
      </w:r>
      <w:r>
        <w:rPr>
          <w:rFonts w:hint="eastAsia"/>
          <w:b/>
          <w:bCs/>
          <w:sz w:val="28"/>
          <w:szCs w:val="36"/>
          <w:lang w:val="en-US" w:eastAsia="zh-CN"/>
        </w:rPr>
        <w:t xml:space="preserve">    </w:t>
      </w:r>
      <w:r>
        <w:rPr>
          <w:rFonts w:hint="eastAsia"/>
          <w:b/>
          <w:bCs/>
          <w:sz w:val="28"/>
          <w:szCs w:val="36"/>
        </w:rPr>
        <w:t>年</w:t>
      </w:r>
      <w:r>
        <w:rPr>
          <w:rFonts w:hint="eastAsia"/>
          <w:b/>
          <w:bCs/>
          <w:sz w:val="28"/>
          <w:szCs w:val="36"/>
          <w:lang w:val="en-US" w:eastAsia="zh-CN"/>
        </w:rPr>
        <w:t xml:space="preserve">    </w:t>
      </w:r>
      <w:r>
        <w:rPr>
          <w:rFonts w:hint="eastAsia"/>
          <w:b/>
          <w:bCs/>
          <w:sz w:val="28"/>
          <w:szCs w:val="36"/>
        </w:rPr>
        <w:t>月</w:t>
      </w:r>
      <w:r>
        <w:rPr>
          <w:rFonts w:hint="eastAsia"/>
          <w:b/>
          <w:bCs/>
          <w:sz w:val="28"/>
          <w:szCs w:val="36"/>
          <w:lang w:val="en-US" w:eastAsia="zh-CN"/>
        </w:rPr>
        <w:t xml:space="preserve">    </w:t>
      </w:r>
      <w:r>
        <w:rPr>
          <w:rFonts w:hint="eastAsia"/>
          <w:b/>
          <w:bCs/>
          <w:sz w:val="28"/>
          <w:szCs w:val="36"/>
        </w:rPr>
        <w:t xml:space="preserve">日  </w:t>
      </w:r>
    </w:p>
    <w:p w14:paraId="7B51AB96">
      <w:pPr>
        <w:pStyle w:val="8"/>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新宋体">
    <w:panose1 w:val="02010609030101010101"/>
    <w:charset w:val="86"/>
    <w:family w:val="modern"/>
    <w:pitch w:val="default"/>
    <w:sig w:usb0="00000203" w:usb1="288F0000" w:usb2="0000000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Segoe UI">
    <w:panose1 w:val="020B0502040204020203"/>
    <w:charset w:val="00"/>
    <w:family w:val="auto"/>
    <w:pitch w:val="default"/>
    <w:sig w:usb0="E4002EFF" w:usb1="C000E47F" w:usb2="00000009" w:usb3="00000000" w:csb0="200001FF" w:csb1="00000000"/>
  </w:font>
  <w:font w:name="KSOF8235D1FC">
    <w:panose1 w:val="020B07030202040202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WM0NTgyZTYyOWY5MDc4Y2QwNjc0NjlhZDMwNWY5MTgifQ=="/>
  </w:docVars>
  <w:rsids>
    <w:rsidRoot w:val="00125DA0"/>
    <w:rsid w:val="00075E67"/>
    <w:rsid w:val="00125DA0"/>
    <w:rsid w:val="00167AC6"/>
    <w:rsid w:val="00B57B36"/>
    <w:rsid w:val="00CD7376"/>
    <w:rsid w:val="00E03B4E"/>
    <w:rsid w:val="00E541D7"/>
    <w:rsid w:val="011B32B7"/>
    <w:rsid w:val="012F57C6"/>
    <w:rsid w:val="01F1594A"/>
    <w:rsid w:val="021C29C7"/>
    <w:rsid w:val="025A0035"/>
    <w:rsid w:val="02DA0B30"/>
    <w:rsid w:val="070E6657"/>
    <w:rsid w:val="09077801"/>
    <w:rsid w:val="0A8721A0"/>
    <w:rsid w:val="0B7B2128"/>
    <w:rsid w:val="0B985CD3"/>
    <w:rsid w:val="0BB60147"/>
    <w:rsid w:val="0C0125B4"/>
    <w:rsid w:val="0CD67C16"/>
    <w:rsid w:val="0DD759F4"/>
    <w:rsid w:val="0E9816ED"/>
    <w:rsid w:val="0F9715CC"/>
    <w:rsid w:val="10396E71"/>
    <w:rsid w:val="11DE52CB"/>
    <w:rsid w:val="13074039"/>
    <w:rsid w:val="132D209C"/>
    <w:rsid w:val="140137CB"/>
    <w:rsid w:val="1487397E"/>
    <w:rsid w:val="148D1503"/>
    <w:rsid w:val="150A3847"/>
    <w:rsid w:val="16C136E5"/>
    <w:rsid w:val="16D93709"/>
    <w:rsid w:val="17410A7F"/>
    <w:rsid w:val="18E10F33"/>
    <w:rsid w:val="19302D95"/>
    <w:rsid w:val="1991663E"/>
    <w:rsid w:val="1A0C35CC"/>
    <w:rsid w:val="1A525566"/>
    <w:rsid w:val="1A626F8D"/>
    <w:rsid w:val="1C3E30E2"/>
    <w:rsid w:val="1C802556"/>
    <w:rsid w:val="1CE74D57"/>
    <w:rsid w:val="1E22432A"/>
    <w:rsid w:val="20142AD8"/>
    <w:rsid w:val="205C18F7"/>
    <w:rsid w:val="20BE4E97"/>
    <w:rsid w:val="20FF651B"/>
    <w:rsid w:val="2163678E"/>
    <w:rsid w:val="221A4D5F"/>
    <w:rsid w:val="237613B4"/>
    <w:rsid w:val="237C10C0"/>
    <w:rsid w:val="23C4301C"/>
    <w:rsid w:val="246758CC"/>
    <w:rsid w:val="255A0F8D"/>
    <w:rsid w:val="257E3356"/>
    <w:rsid w:val="2741574C"/>
    <w:rsid w:val="276E45FB"/>
    <w:rsid w:val="27AC72CB"/>
    <w:rsid w:val="28992024"/>
    <w:rsid w:val="28BE3B5A"/>
    <w:rsid w:val="29A96C5C"/>
    <w:rsid w:val="29F21F51"/>
    <w:rsid w:val="2A4E7CF6"/>
    <w:rsid w:val="2BAC62BA"/>
    <w:rsid w:val="2C765212"/>
    <w:rsid w:val="2D5C59D6"/>
    <w:rsid w:val="2E24482E"/>
    <w:rsid w:val="30244479"/>
    <w:rsid w:val="30AA01BC"/>
    <w:rsid w:val="30B56AE1"/>
    <w:rsid w:val="30CE55FA"/>
    <w:rsid w:val="31342FDA"/>
    <w:rsid w:val="327E6635"/>
    <w:rsid w:val="3321133C"/>
    <w:rsid w:val="33DF7568"/>
    <w:rsid w:val="347A51A8"/>
    <w:rsid w:val="34F0372B"/>
    <w:rsid w:val="3516702D"/>
    <w:rsid w:val="356B5D48"/>
    <w:rsid w:val="36257C7B"/>
    <w:rsid w:val="37E601A9"/>
    <w:rsid w:val="38F6420F"/>
    <w:rsid w:val="3A7A2C02"/>
    <w:rsid w:val="3AD96434"/>
    <w:rsid w:val="3D124BF3"/>
    <w:rsid w:val="3D922FE7"/>
    <w:rsid w:val="3DF00187"/>
    <w:rsid w:val="3EE84C2D"/>
    <w:rsid w:val="3F220916"/>
    <w:rsid w:val="40176161"/>
    <w:rsid w:val="412E457D"/>
    <w:rsid w:val="41995E7D"/>
    <w:rsid w:val="42570204"/>
    <w:rsid w:val="42EC1909"/>
    <w:rsid w:val="43315BEC"/>
    <w:rsid w:val="437F7395"/>
    <w:rsid w:val="43AD1C7C"/>
    <w:rsid w:val="4486772E"/>
    <w:rsid w:val="44912C24"/>
    <w:rsid w:val="46CE5B2B"/>
    <w:rsid w:val="47421740"/>
    <w:rsid w:val="477C493B"/>
    <w:rsid w:val="47C03328"/>
    <w:rsid w:val="48350522"/>
    <w:rsid w:val="48F422BB"/>
    <w:rsid w:val="49D848D4"/>
    <w:rsid w:val="4A7A6DBA"/>
    <w:rsid w:val="4C122427"/>
    <w:rsid w:val="4CCF04AD"/>
    <w:rsid w:val="4CD73773"/>
    <w:rsid w:val="4D440E1C"/>
    <w:rsid w:val="4DC33073"/>
    <w:rsid w:val="4E3F7559"/>
    <w:rsid w:val="4ECE0172"/>
    <w:rsid w:val="4FDE7FB7"/>
    <w:rsid w:val="4FEA0155"/>
    <w:rsid w:val="50804CA1"/>
    <w:rsid w:val="50A07839"/>
    <w:rsid w:val="513F33B9"/>
    <w:rsid w:val="51516E47"/>
    <w:rsid w:val="51E90E1F"/>
    <w:rsid w:val="51EA543D"/>
    <w:rsid w:val="550146D2"/>
    <w:rsid w:val="56EE0C86"/>
    <w:rsid w:val="5B470046"/>
    <w:rsid w:val="5B5E462C"/>
    <w:rsid w:val="5BD329C8"/>
    <w:rsid w:val="5BE70AC5"/>
    <w:rsid w:val="5CF93C67"/>
    <w:rsid w:val="62920BC0"/>
    <w:rsid w:val="637A7D59"/>
    <w:rsid w:val="639B14F1"/>
    <w:rsid w:val="64515E2E"/>
    <w:rsid w:val="64D61FAB"/>
    <w:rsid w:val="68790CF7"/>
    <w:rsid w:val="68ED02CC"/>
    <w:rsid w:val="69A739D7"/>
    <w:rsid w:val="6B06404D"/>
    <w:rsid w:val="6C56086E"/>
    <w:rsid w:val="6D30394E"/>
    <w:rsid w:val="6DBC2B14"/>
    <w:rsid w:val="6E9759F6"/>
    <w:rsid w:val="709D12FB"/>
    <w:rsid w:val="711F4406"/>
    <w:rsid w:val="722D11DC"/>
    <w:rsid w:val="73AC38AA"/>
    <w:rsid w:val="73C6500C"/>
    <w:rsid w:val="74083869"/>
    <w:rsid w:val="75B443BF"/>
    <w:rsid w:val="76A623E1"/>
    <w:rsid w:val="786A7F85"/>
    <w:rsid w:val="791505B4"/>
    <w:rsid w:val="7961108A"/>
    <w:rsid w:val="7A7C6A82"/>
    <w:rsid w:val="7A8615E4"/>
    <w:rsid w:val="7D051392"/>
    <w:rsid w:val="7EC1633B"/>
    <w:rsid w:val="7EF0118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4">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5">
    <w:name w:val="Default Paragraph Font"/>
    <w:autoRedefine/>
    <w:semiHidden/>
    <w:unhideWhenUsed/>
    <w:qFormat/>
    <w:uiPriority w:val="1"/>
  </w:style>
  <w:style w:type="table" w:default="1" w:styleId="13">
    <w:name w:val="Normal Table"/>
    <w:autoRedefin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ind w:firstLine="420"/>
    </w:pPr>
    <w:rPr>
      <w:rFonts w:ascii="Verdana" w:hAnsi="Verdana"/>
      <w:szCs w:val="20"/>
    </w:rPr>
  </w:style>
  <w:style w:type="paragraph" w:styleId="7">
    <w:name w:val="annotation text"/>
    <w:basedOn w:val="1"/>
    <w:autoRedefine/>
    <w:qFormat/>
    <w:uiPriority w:val="0"/>
    <w:pPr>
      <w:jc w:val="left"/>
    </w:pPr>
  </w:style>
  <w:style w:type="paragraph" w:styleId="8">
    <w:name w:val="Body Text"/>
    <w:basedOn w:val="1"/>
    <w:autoRedefine/>
    <w:qFormat/>
    <w:uiPriority w:val="0"/>
    <w:pPr>
      <w:spacing w:after="120"/>
    </w:pPr>
  </w:style>
  <w:style w:type="paragraph" w:styleId="9">
    <w:name w:val="footer"/>
    <w:basedOn w:val="1"/>
    <w:link w:val="21"/>
    <w:autoRedefine/>
    <w:qFormat/>
    <w:uiPriority w:val="0"/>
    <w:pPr>
      <w:tabs>
        <w:tab w:val="center" w:pos="4153"/>
        <w:tab w:val="right" w:pos="8306"/>
      </w:tabs>
      <w:snapToGrid w:val="0"/>
      <w:jc w:val="left"/>
    </w:pPr>
    <w:rPr>
      <w:sz w:val="18"/>
      <w:szCs w:val="18"/>
    </w:rPr>
  </w:style>
  <w:style w:type="paragraph" w:styleId="10">
    <w:name w:val="header"/>
    <w:basedOn w:val="1"/>
    <w:link w:val="20"/>
    <w:autoRedefine/>
    <w:qFormat/>
    <w:uiPriority w:val="0"/>
    <w:pPr>
      <w:tabs>
        <w:tab w:val="center" w:pos="4153"/>
        <w:tab w:val="right" w:pos="8306"/>
      </w:tabs>
      <w:snapToGrid w:val="0"/>
      <w:jc w:val="center"/>
    </w:pPr>
    <w:rPr>
      <w:sz w:val="18"/>
      <w:szCs w:val="18"/>
    </w:rPr>
  </w:style>
  <w:style w:type="paragraph" w:styleId="11">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2">
    <w:name w:val="Normal (Web)"/>
    <w:basedOn w:val="1"/>
    <w:autoRedefine/>
    <w:qFormat/>
    <w:uiPriority w:val="0"/>
    <w:pPr>
      <w:spacing w:beforeAutospacing="1" w:afterAutospacing="1"/>
      <w:jc w:val="left"/>
    </w:pPr>
    <w:rPr>
      <w:rFonts w:cs="Times New Roman"/>
      <w:kern w:val="0"/>
      <w:sz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标题4 Char"/>
    <w:link w:val="17"/>
    <w:autoRedefine/>
    <w:qFormat/>
    <w:locked/>
    <w:uiPriority w:val="0"/>
    <w:rPr>
      <w:rFonts w:eastAsia="宋体"/>
      <w:kern w:val="0"/>
      <w:sz w:val="36"/>
      <w:szCs w:val="20"/>
    </w:rPr>
  </w:style>
  <w:style w:type="paragraph" w:customStyle="1" w:styleId="17">
    <w:name w:val="标题4"/>
    <w:basedOn w:val="5"/>
    <w:link w:val="16"/>
    <w:autoRedefine/>
    <w:qFormat/>
    <w:uiPriority w:val="0"/>
    <w:rPr>
      <w:rFonts w:eastAsia="宋体"/>
      <w:kern w:val="0"/>
      <w:sz w:val="36"/>
      <w:szCs w:val="20"/>
    </w:rPr>
  </w:style>
  <w:style w:type="paragraph" w:customStyle="1" w:styleId="18">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9">
    <w:name w:val="WPSOffice手动目录 1"/>
    <w:autoRedefine/>
    <w:qFormat/>
    <w:uiPriority w:val="0"/>
    <w:rPr>
      <w:rFonts w:asciiTheme="minorHAnsi" w:hAnsiTheme="minorHAnsi" w:eastAsiaTheme="minorEastAsia" w:cstheme="minorBidi"/>
      <w:lang w:val="en-US" w:eastAsia="zh-CN" w:bidi="ar-SA"/>
    </w:rPr>
  </w:style>
  <w:style w:type="character" w:customStyle="1" w:styleId="20">
    <w:name w:val="页眉 字符"/>
    <w:basedOn w:val="15"/>
    <w:link w:val="10"/>
    <w:autoRedefine/>
    <w:qFormat/>
    <w:uiPriority w:val="0"/>
    <w:rPr>
      <w:rFonts w:asciiTheme="minorHAnsi" w:hAnsiTheme="minorHAnsi" w:eastAsiaTheme="minorEastAsia" w:cstheme="minorBidi"/>
      <w:kern w:val="2"/>
      <w:sz w:val="18"/>
      <w:szCs w:val="18"/>
    </w:rPr>
  </w:style>
  <w:style w:type="character" w:customStyle="1" w:styleId="21">
    <w:name w:val="页脚 字符"/>
    <w:basedOn w:val="15"/>
    <w:link w:val="9"/>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674</Words>
  <Characters>730</Characters>
  <Lines>59</Lines>
  <Paragraphs>16</Paragraphs>
  <TotalTime>1</TotalTime>
  <ScaleCrop>false</ScaleCrop>
  <LinksUpToDate>false</LinksUpToDate>
  <CharactersWithSpaces>730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是你啊</cp:lastModifiedBy>
  <dcterms:modified xsi:type="dcterms:W3CDTF">2026-11-06T10:06:17Z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A4FD631AEA6646C7A52650D2D3165844_13</vt:lpwstr>
  </property>
  <property fmtid="{D5CDD505-2E9C-101B-9397-08002B2CF9AE}" pid="4" name="KSOTemplateDocerSaveRecord">
    <vt:lpwstr>eyJoZGlkIjoiZGE3YzNmNDc4MmY3ODM0ZWU3N2IyNWVlMDU2NTU4NDkiLCJ1c2VySWQiOiIxNzg2NTUyNDIyIn0=</vt:lpwstr>
  </property>
</Properties>
</file>